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B83A2" w14:textId="77777777" w:rsidR="00E346B3" w:rsidRDefault="00E346B3" w:rsidP="00A06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14:paraId="2450C02F" w14:textId="41ABC31D" w:rsidR="00A06E48" w:rsidRPr="00A06E48" w:rsidRDefault="00A06E48" w:rsidP="00A06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06E48">
        <w:rPr>
          <w:rFonts w:ascii="Arial" w:hAnsi="Arial" w:cs="Arial"/>
          <w:b/>
          <w:sz w:val="40"/>
          <w:szCs w:val="40"/>
        </w:rPr>
        <w:t>PROCEDURA</w:t>
      </w:r>
      <w:r w:rsidR="002357CC">
        <w:rPr>
          <w:rFonts w:ascii="Arial" w:hAnsi="Arial" w:cs="Arial"/>
          <w:b/>
          <w:sz w:val="40"/>
          <w:szCs w:val="40"/>
        </w:rPr>
        <w:t xml:space="preserve"> </w:t>
      </w:r>
      <w:r w:rsidRPr="00A06E48">
        <w:rPr>
          <w:rFonts w:ascii="Arial" w:hAnsi="Arial" w:cs="Arial"/>
          <w:b/>
          <w:sz w:val="40"/>
          <w:szCs w:val="40"/>
        </w:rPr>
        <w:t xml:space="preserve">PER </w:t>
      </w:r>
      <w:r w:rsidR="002357CC">
        <w:rPr>
          <w:rFonts w:ascii="Arial" w:hAnsi="Arial" w:cs="Arial"/>
          <w:b/>
          <w:sz w:val="40"/>
          <w:szCs w:val="40"/>
        </w:rPr>
        <w:t>L’AVVIO DI</w:t>
      </w:r>
    </w:p>
    <w:p w14:paraId="730EFB50" w14:textId="7281571E" w:rsidR="000D1D32" w:rsidRDefault="000D1D32" w:rsidP="00A06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ATTIVITÀ DI CO</w:t>
      </w:r>
      <w:r w:rsidR="002956F9">
        <w:rPr>
          <w:rFonts w:ascii="Arial" w:hAnsi="Arial" w:cs="Arial"/>
          <w:b/>
          <w:sz w:val="40"/>
          <w:szCs w:val="40"/>
        </w:rPr>
        <w:t>-</w:t>
      </w:r>
      <w:r>
        <w:rPr>
          <w:rFonts w:ascii="Arial" w:hAnsi="Arial" w:cs="Arial"/>
          <w:b/>
          <w:sz w:val="40"/>
          <w:szCs w:val="40"/>
        </w:rPr>
        <w:t xml:space="preserve">PROGETTAZIONE </w:t>
      </w:r>
    </w:p>
    <w:p w14:paraId="2AA02210" w14:textId="4E822D41" w:rsidR="000D1D32" w:rsidRDefault="000D1D32" w:rsidP="00A06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A SEGUITO DI INIZIATIVA DI </w:t>
      </w:r>
    </w:p>
    <w:p w14:paraId="415AF0E0" w14:textId="5C477DED" w:rsidR="00A06E48" w:rsidRDefault="000D1D32" w:rsidP="00A06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ENTI DEL TERZO SETTORE</w:t>
      </w:r>
    </w:p>
    <w:p w14:paraId="58D7A7CD" w14:textId="77777777" w:rsidR="00E346B3" w:rsidRDefault="00E346B3" w:rsidP="00A06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14:paraId="644D48EC" w14:textId="77777777" w:rsidR="00A06E48" w:rsidRDefault="00A06E48" w:rsidP="00A06E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3F383B1" w14:textId="77777777" w:rsidR="001F4312" w:rsidRDefault="001F4312" w:rsidP="00A06E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0FDDBE" w14:textId="77777777" w:rsidR="00E346B3" w:rsidRDefault="00E346B3" w:rsidP="00A06E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BA7D97" w14:textId="77777777" w:rsidR="00A06E48" w:rsidRDefault="00A06E48" w:rsidP="002F226D">
      <w:pPr>
        <w:pStyle w:val="Paragrafoelenco"/>
        <w:numPr>
          <w:ilvl w:val="0"/>
          <w:numId w:val="18"/>
        </w:numPr>
        <w:spacing w:after="0"/>
        <w:rPr>
          <w:rFonts w:ascii="Arial" w:hAnsi="Arial" w:cs="Arial"/>
          <w:b/>
          <w:sz w:val="28"/>
          <w:szCs w:val="28"/>
        </w:rPr>
      </w:pPr>
      <w:r w:rsidRPr="00675265">
        <w:rPr>
          <w:rFonts w:ascii="Arial" w:hAnsi="Arial" w:cs="Arial"/>
          <w:b/>
          <w:sz w:val="28"/>
          <w:szCs w:val="28"/>
        </w:rPr>
        <w:t>Finalità della procedura</w:t>
      </w:r>
    </w:p>
    <w:p w14:paraId="6C70F334" w14:textId="77777777" w:rsidR="00675265" w:rsidRPr="00675265" w:rsidRDefault="00675265" w:rsidP="00675265">
      <w:pPr>
        <w:pStyle w:val="Paragrafoelenco"/>
        <w:spacing w:after="0"/>
        <w:ind w:left="714"/>
        <w:rPr>
          <w:rFonts w:ascii="Arial" w:hAnsi="Arial" w:cs="Arial"/>
          <w:b/>
          <w:sz w:val="14"/>
          <w:szCs w:val="14"/>
        </w:rPr>
      </w:pPr>
    </w:p>
    <w:p w14:paraId="1A56BB37" w14:textId="77777777" w:rsidR="002357CC" w:rsidRDefault="002357CC" w:rsidP="002357CC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L’istituto della co-progettazione è disciplinato dal terzo comma dell’articolo 55 del D. Lgs. 3 luglio 2017, n. 117 “</w:t>
      </w:r>
      <w:r>
        <w:rPr>
          <w:rFonts w:ascii="Arial" w:hAnsi="Arial" w:cs="Arial"/>
          <w:i/>
          <w:iCs/>
          <w:sz w:val="24"/>
          <w:szCs w:val="24"/>
        </w:rPr>
        <w:t xml:space="preserve">La coprogettazione è finalizzata alla definizione ed eventualmente alla realizzazione di specifici progetti di servizio o di intervento finalizzati a soddisfare bisogni definiti, alla luce degli strumenti di programmazione”. </w:t>
      </w:r>
    </w:p>
    <w:p w14:paraId="0C58E614" w14:textId="77777777" w:rsidR="002357CC" w:rsidRDefault="002357CC" w:rsidP="002357CC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497F507A" w14:textId="343F2F8A" w:rsidR="002357CC" w:rsidRDefault="002357CC" w:rsidP="002357C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Codice del Terzo Settore generalizza l’utilizzo della co-progettazione oltre il settore del welfare e, più precisamente, nell’ambito delle attività di interesse generale indicate nel catalogo contenuto nell’articolo 5 del D. Lgs. 117/2017.</w:t>
      </w:r>
    </w:p>
    <w:p w14:paraId="5D3B96BA" w14:textId="77777777" w:rsidR="00B72513" w:rsidRDefault="00B72513" w:rsidP="002357CC">
      <w:pPr>
        <w:spacing w:after="0" w:line="360" w:lineRule="auto"/>
        <w:jc w:val="both"/>
        <w:rPr>
          <w:sz w:val="23"/>
          <w:szCs w:val="23"/>
        </w:rPr>
      </w:pPr>
    </w:p>
    <w:p w14:paraId="770F8517" w14:textId="39110A04" w:rsidR="002357CC" w:rsidRDefault="00B72513" w:rsidP="002357C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8346A3">
        <w:rPr>
          <w:rFonts w:ascii="Arial" w:hAnsi="Arial" w:cs="Arial"/>
          <w:sz w:val="24"/>
          <w:szCs w:val="24"/>
        </w:rPr>
        <w:t xml:space="preserve"> </w:t>
      </w:r>
      <w:r w:rsidRPr="00B72513">
        <w:rPr>
          <w:rFonts w:ascii="Arial" w:hAnsi="Arial" w:cs="Arial"/>
          <w:sz w:val="24"/>
          <w:szCs w:val="24"/>
        </w:rPr>
        <w:t>co-prog</w:t>
      </w:r>
      <w:r>
        <w:rPr>
          <w:rFonts w:ascii="Arial" w:hAnsi="Arial" w:cs="Arial"/>
          <w:sz w:val="24"/>
          <w:szCs w:val="24"/>
        </w:rPr>
        <w:t>ettazione</w:t>
      </w:r>
      <w:r w:rsidRPr="00B72513">
        <w:rPr>
          <w:rFonts w:ascii="Arial" w:hAnsi="Arial" w:cs="Arial"/>
          <w:sz w:val="24"/>
          <w:szCs w:val="24"/>
        </w:rPr>
        <w:t xml:space="preserve"> si sostanzia in un’istruttoria partecipata e condivisa, nella quale – fermo restando le prerogative dell’ente pubblico, quale “amministrazione procedente”, ai sensi della legge n. 241/1990 – il </w:t>
      </w:r>
      <w:r w:rsidR="008346A3">
        <w:rPr>
          <w:rFonts w:ascii="Arial" w:hAnsi="Arial" w:cs="Arial"/>
          <w:sz w:val="24"/>
          <w:szCs w:val="24"/>
        </w:rPr>
        <w:t xml:space="preserve">risultato finale è </w:t>
      </w:r>
      <w:r w:rsidRPr="00B72513">
        <w:rPr>
          <w:rFonts w:ascii="Arial" w:hAnsi="Arial" w:cs="Arial"/>
          <w:sz w:val="24"/>
          <w:szCs w:val="24"/>
        </w:rPr>
        <w:t>il portato della collaborazione di tutti i partecipanti al procedimento.</w:t>
      </w:r>
    </w:p>
    <w:p w14:paraId="5DBA0ABA" w14:textId="77777777" w:rsidR="008346A3" w:rsidRDefault="008346A3" w:rsidP="002357C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83F3B3" w14:textId="24E94649" w:rsidR="00B72513" w:rsidRDefault="002357CC" w:rsidP="00B725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L’avvio </w:t>
      </w:r>
      <w:r w:rsidR="008346A3">
        <w:rPr>
          <w:rFonts w:ascii="Arial" w:hAnsi="Arial" w:cs="Arial"/>
          <w:sz w:val="24"/>
          <w:szCs w:val="24"/>
        </w:rPr>
        <w:t xml:space="preserve">e lo sviluppo </w:t>
      </w:r>
      <w:r>
        <w:rPr>
          <w:rFonts w:ascii="Arial" w:hAnsi="Arial" w:cs="Arial"/>
          <w:sz w:val="24"/>
          <w:szCs w:val="24"/>
        </w:rPr>
        <w:t>dell’attività di co-progettazione</w:t>
      </w:r>
      <w:r w:rsidR="008346A3">
        <w:rPr>
          <w:rFonts w:ascii="Arial" w:hAnsi="Arial" w:cs="Arial"/>
          <w:sz w:val="24"/>
          <w:szCs w:val="24"/>
        </w:rPr>
        <w:t xml:space="preserve">, trovando </w:t>
      </w:r>
      <w:r w:rsidR="00B72513" w:rsidRPr="00B72513">
        <w:rPr>
          <w:rFonts w:ascii="Arial" w:hAnsi="Arial" w:cs="Arial"/>
          <w:sz w:val="24"/>
          <w:szCs w:val="24"/>
        </w:rPr>
        <w:t xml:space="preserve">applicazione i principi del procedimento di cui alla legge n. 241/1990, </w:t>
      </w:r>
      <w:r w:rsidR="008346A3">
        <w:rPr>
          <w:rFonts w:ascii="Arial" w:hAnsi="Arial" w:cs="Arial"/>
          <w:sz w:val="24"/>
          <w:szCs w:val="24"/>
        </w:rPr>
        <w:t xml:space="preserve">può prevedere </w:t>
      </w:r>
      <w:r w:rsidR="00B72513" w:rsidRPr="00B72513">
        <w:rPr>
          <w:rFonts w:ascii="Arial" w:hAnsi="Arial" w:cs="Arial"/>
          <w:sz w:val="24"/>
          <w:szCs w:val="24"/>
        </w:rPr>
        <w:t xml:space="preserve">l’iniziativa anche di parte e, dunque, di uno o più ETS. </w:t>
      </w:r>
    </w:p>
    <w:p w14:paraId="243A3297" w14:textId="77777777" w:rsidR="008346A3" w:rsidRDefault="008346A3" w:rsidP="00B725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2B77CF6" w14:textId="3A07519B" w:rsidR="008346A3" w:rsidRDefault="008346A3" w:rsidP="008346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definizione di una procedura per l’avvio di attività di co-progettazione a seguito di iniziativa da parte di Enti del Terzo Settore risponde, pertanto, alla esigenza di stabilire un percorso omogeneo e trasparente rispondente alle possibili istanze ed esigenze, determinate dai processi di costante innovazione sociale e comunitaria.</w:t>
      </w:r>
    </w:p>
    <w:p w14:paraId="66F93D74" w14:textId="77777777" w:rsidR="008346A3" w:rsidRDefault="008346A3" w:rsidP="00B725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E4C070D" w14:textId="77777777" w:rsidR="002956F9" w:rsidRDefault="002956F9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13F4BB4" w14:textId="35B7431B" w:rsidR="004C67A5" w:rsidRDefault="008D1B53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All’esito delle procedure di approvazione, si provvederà all’</w:t>
      </w:r>
      <w:r w:rsidR="00FF35FC">
        <w:rPr>
          <w:rFonts w:ascii="Arial" w:hAnsi="Arial" w:cs="Arial"/>
          <w:sz w:val="24"/>
          <w:szCs w:val="24"/>
        </w:rPr>
        <w:t>aggiorna</w:t>
      </w:r>
      <w:r>
        <w:rPr>
          <w:rFonts w:ascii="Arial" w:hAnsi="Arial" w:cs="Arial"/>
          <w:sz w:val="24"/>
          <w:szCs w:val="24"/>
        </w:rPr>
        <w:t xml:space="preserve">mento </w:t>
      </w:r>
      <w:r w:rsidR="000D1D32">
        <w:rPr>
          <w:rFonts w:ascii="Arial" w:hAnsi="Arial" w:cs="Arial"/>
          <w:sz w:val="24"/>
          <w:szCs w:val="24"/>
        </w:rPr>
        <w:t>sito web istituzionale dell’Ambito Territoriale e dei Comuni</w:t>
      </w:r>
      <w:r w:rsidR="00FF35FC">
        <w:rPr>
          <w:rFonts w:ascii="Arial" w:hAnsi="Arial" w:cs="Arial"/>
          <w:sz w:val="24"/>
          <w:szCs w:val="24"/>
        </w:rPr>
        <w:t xml:space="preserve"> per la necessaria divulgazione</w:t>
      </w:r>
      <w:r w:rsidR="004C67A5">
        <w:rPr>
          <w:rFonts w:ascii="Arial" w:hAnsi="Arial" w:cs="Arial"/>
          <w:sz w:val="24"/>
          <w:szCs w:val="24"/>
        </w:rPr>
        <w:t>.</w:t>
      </w:r>
    </w:p>
    <w:p w14:paraId="644800B2" w14:textId="77777777" w:rsidR="00675265" w:rsidRDefault="00675265" w:rsidP="00A06E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88A1C9" w14:textId="77777777" w:rsidR="00A06E48" w:rsidRDefault="00A06E48" w:rsidP="00A06E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B35F4E" w14:textId="77777777" w:rsidR="009A7EA9" w:rsidRDefault="009A7EA9" w:rsidP="002F226D">
      <w:pPr>
        <w:pStyle w:val="Paragrafoelenco"/>
        <w:numPr>
          <w:ilvl w:val="0"/>
          <w:numId w:val="18"/>
        </w:numPr>
        <w:spacing w:after="0"/>
        <w:rPr>
          <w:rFonts w:ascii="Arial" w:hAnsi="Arial" w:cs="Arial"/>
          <w:b/>
          <w:sz w:val="28"/>
          <w:szCs w:val="28"/>
        </w:rPr>
      </w:pPr>
      <w:r w:rsidRPr="00675265">
        <w:rPr>
          <w:rFonts w:ascii="Arial" w:hAnsi="Arial" w:cs="Arial"/>
          <w:b/>
          <w:sz w:val="28"/>
          <w:szCs w:val="28"/>
        </w:rPr>
        <w:t>Obiettivi della procedura</w:t>
      </w:r>
    </w:p>
    <w:p w14:paraId="5C5C1185" w14:textId="77777777" w:rsidR="00675265" w:rsidRPr="00675265" w:rsidRDefault="00675265" w:rsidP="00675265">
      <w:pPr>
        <w:pStyle w:val="Paragrafoelenco"/>
        <w:rPr>
          <w:rFonts w:ascii="Arial" w:hAnsi="Arial" w:cs="Arial"/>
          <w:b/>
          <w:sz w:val="14"/>
          <w:szCs w:val="14"/>
        </w:rPr>
      </w:pPr>
    </w:p>
    <w:p w14:paraId="53190185" w14:textId="77777777" w:rsidR="009A7EA9" w:rsidRPr="009A7EA9" w:rsidRDefault="009A7EA9" w:rsidP="001F4312">
      <w:pPr>
        <w:pStyle w:val="Paragrafoelenco"/>
        <w:numPr>
          <w:ilvl w:val="0"/>
          <w:numId w:val="8"/>
        </w:numPr>
        <w:spacing w:after="0" w:line="360" w:lineRule="auto"/>
        <w:ind w:left="714" w:hanging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Determinazione delle fasi</w:t>
      </w:r>
    </w:p>
    <w:p w14:paraId="015C1BDE" w14:textId="77777777" w:rsidR="009A7EA9" w:rsidRPr="009A7EA9" w:rsidRDefault="00D37804" w:rsidP="001F4312">
      <w:pPr>
        <w:pStyle w:val="Paragrafoelenco"/>
        <w:numPr>
          <w:ilvl w:val="0"/>
          <w:numId w:val="8"/>
        </w:numPr>
        <w:spacing w:after="0" w:line="360" w:lineRule="auto"/>
        <w:ind w:left="714" w:hanging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732191">
        <w:rPr>
          <w:rFonts w:ascii="Arial" w:hAnsi="Arial" w:cs="Arial"/>
          <w:sz w:val="24"/>
          <w:szCs w:val="24"/>
        </w:rPr>
        <w:t>eterminazione delle competenze</w:t>
      </w:r>
    </w:p>
    <w:p w14:paraId="45A5D13D" w14:textId="77777777" w:rsidR="009A7EA9" w:rsidRPr="009A7EA9" w:rsidRDefault="009A7EA9" w:rsidP="001F4312">
      <w:pPr>
        <w:pStyle w:val="Paragrafoelenco"/>
        <w:numPr>
          <w:ilvl w:val="0"/>
          <w:numId w:val="8"/>
        </w:numPr>
        <w:spacing w:after="0" w:line="360" w:lineRule="auto"/>
        <w:ind w:left="714" w:hanging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Determinazione degli strumenti</w:t>
      </w:r>
    </w:p>
    <w:p w14:paraId="0558F6D8" w14:textId="77777777" w:rsidR="009A7EA9" w:rsidRDefault="009A7EA9" w:rsidP="00A06E48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4A96F27B" w14:textId="77777777" w:rsidR="00E346B3" w:rsidRDefault="00E346B3" w:rsidP="00A06E48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1BE146C1" w14:textId="77777777" w:rsidR="00A01CBD" w:rsidRDefault="00EB2A06" w:rsidP="002F226D">
      <w:pPr>
        <w:pStyle w:val="Paragrafoelenco"/>
        <w:numPr>
          <w:ilvl w:val="0"/>
          <w:numId w:val="18"/>
        </w:numPr>
        <w:spacing w:after="0"/>
        <w:rPr>
          <w:rFonts w:ascii="Arial" w:hAnsi="Arial" w:cs="Arial"/>
          <w:b/>
          <w:sz w:val="28"/>
          <w:szCs w:val="28"/>
        </w:rPr>
      </w:pPr>
      <w:r w:rsidRPr="00675265">
        <w:rPr>
          <w:rFonts w:ascii="Arial" w:hAnsi="Arial" w:cs="Arial"/>
          <w:b/>
          <w:sz w:val="28"/>
          <w:szCs w:val="28"/>
        </w:rPr>
        <w:t>Il contesto normativo</w:t>
      </w:r>
    </w:p>
    <w:p w14:paraId="2C642D6F" w14:textId="77777777" w:rsidR="00E346B3" w:rsidRPr="00E346B3" w:rsidRDefault="00E346B3" w:rsidP="00E346B3">
      <w:pPr>
        <w:pStyle w:val="Paragrafoelenco"/>
        <w:spacing w:after="0"/>
        <w:rPr>
          <w:rFonts w:ascii="Arial" w:hAnsi="Arial" w:cs="Arial"/>
          <w:b/>
          <w:sz w:val="10"/>
          <w:szCs w:val="10"/>
        </w:rPr>
      </w:pPr>
    </w:p>
    <w:p w14:paraId="1A2FD491" w14:textId="77777777" w:rsidR="008D1B53" w:rsidRPr="00E346B3" w:rsidRDefault="008D1B53" w:rsidP="00E346B3">
      <w:pPr>
        <w:pStyle w:val="Paragrafoelenco"/>
        <w:numPr>
          <w:ilvl w:val="0"/>
          <w:numId w:val="2"/>
        </w:num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E346B3">
        <w:rPr>
          <w:rFonts w:ascii="Arial" w:hAnsi="Arial" w:cs="Arial"/>
          <w:sz w:val="24"/>
          <w:szCs w:val="24"/>
        </w:rPr>
        <w:t>L’articolo 118 della Costituzione</w:t>
      </w:r>
      <w:r w:rsidR="00E346B3">
        <w:rPr>
          <w:rFonts w:ascii="Arial" w:hAnsi="Arial" w:cs="Arial"/>
          <w:sz w:val="24"/>
          <w:szCs w:val="24"/>
        </w:rPr>
        <w:t xml:space="preserve">, che regola il principio di </w:t>
      </w:r>
      <w:r w:rsidR="00E346B3" w:rsidRPr="00E346B3">
        <w:rPr>
          <w:rFonts w:ascii="Arial" w:hAnsi="Arial" w:cs="Arial"/>
          <w:sz w:val="24"/>
          <w:szCs w:val="24"/>
        </w:rPr>
        <w:t>sussidiarietà ("Stato, Regioni, Province, Città Metropolitane e Comuni favoriscono l'autonoma iniziativa dei cittadini, singoli e associati, per lo svolgimento di attività di interesse generale, sulla base del principio della sussidiariet</w:t>
      </w:r>
      <w:r w:rsidR="00E346B3" w:rsidRPr="00E346B3">
        <w:rPr>
          <w:rFonts w:ascii="Arial" w:hAnsi="Arial" w:cs="Arial" w:hint="eastAsia"/>
          <w:sz w:val="24"/>
          <w:szCs w:val="24"/>
        </w:rPr>
        <w:t>à</w:t>
      </w:r>
      <w:r w:rsidR="00E346B3" w:rsidRPr="00E346B3">
        <w:rPr>
          <w:rFonts w:ascii="Arial" w:hAnsi="Arial" w:cs="Arial"/>
          <w:sz w:val="24"/>
          <w:szCs w:val="24"/>
        </w:rPr>
        <w:t>)". Tale principio implica che le diverse istituzioni debbano creare le condizioni necessarie per permettere alla persona e alle aggregazioni sociali di agire liberamente nello svolgimento della loro attività.</w:t>
      </w:r>
      <w:r w:rsidRPr="00E346B3">
        <w:rPr>
          <w:rFonts w:ascii="Arial" w:hAnsi="Arial" w:cs="Arial"/>
          <w:sz w:val="24"/>
          <w:szCs w:val="24"/>
        </w:rPr>
        <w:t xml:space="preserve"> </w:t>
      </w:r>
    </w:p>
    <w:p w14:paraId="091972AA" w14:textId="77777777" w:rsidR="008705FB" w:rsidRDefault="00A868C2" w:rsidP="00AC510F">
      <w:pPr>
        <w:pStyle w:val="Paragrafoelenco"/>
        <w:numPr>
          <w:ilvl w:val="0"/>
          <w:numId w:val="2"/>
        </w:num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A868C2">
        <w:rPr>
          <w:rFonts w:ascii="Arial" w:hAnsi="Arial" w:cs="Arial"/>
          <w:sz w:val="24"/>
          <w:szCs w:val="24"/>
        </w:rPr>
        <w:t xml:space="preserve">L’articolo </w:t>
      </w:r>
      <w:r w:rsidR="006622EE">
        <w:rPr>
          <w:rFonts w:ascii="Arial" w:hAnsi="Arial" w:cs="Arial"/>
          <w:sz w:val="24"/>
          <w:szCs w:val="24"/>
        </w:rPr>
        <w:t>55</w:t>
      </w:r>
      <w:r w:rsidRPr="00A868C2">
        <w:rPr>
          <w:rFonts w:ascii="Arial" w:hAnsi="Arial" w:cs="Arial"/>
          <w:sz w:val="24"/>
          <w:szCs w:val="24"/>
        </w:rPr>
        <w:t xml:space="preserve"> del</w:t>
      </w:r>
      <w:r w:rsidR="006622EE">
        <w:rPr>
          <w:rFonts w:ascii="Arial" w:hAnsi="Arial" w:cs="Arial"/>
          <w:sz w:val="24"/>
          <w:szCs w:val="24"/>
        </w:rPr>
        <w:t xml:space="preserve"> decreto legislativo 3 luglio 2017, n. 117 </w:t>
      </w:r>
      <w:r w:rsidR="008705FB">
        <w:rPr>
          <w:rFonts w:ascii="Arial" w:hAnsi="Arial" w:cs="Arial"/>
          <w:sz w:val="24"/>
          <w:szCs w:val="24"/>
        </w:rPr>
        <w:t>“Codice del Terzo Settore, a norma dell’articolo 1, comma 2, lettera b), della legge 6 giugno 2016, n. 106”;</w:t>
      </w:r>
    </w:p>
    <w:p w14:paraId="71DFC1C4" w14:textId="5BDB1EF7" w:rsidR="008705FB" w:rsidRPr="008705FB" w:rsidRDefault="008705FB" w:rsidP="000B2F23">
      <w:pPr>
        <w:pStyle w:val="Paragrafoelenco"/>
        <w:numPr>
          <w:ilvl w:val="0"/>
          <w:numId w:val="2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8705FB">
        <w:rPr>
          <w:rFonts w:ascii="Arial" w:hAnsi="Arial" w:cs="Arial"/>
          <w:sz w:val="24"/>
          <w:szCs w:val="24"/>
        </w:rPr>
        <w:t>Sentenza Corte Costituzionale n. 131/2020 depositata il 26 giugno 2020 in relazione alla coprogettazione</w:t>
      </w:r>
    </w:p>
    <w:p w14:paraId="54207451" w14:textId="6F33405F" w:rsidR="008705FB" w:rsidRPr="008705FB" w:rsidRDefault="008705FB" w:rsidP="008705FB">
      <w:pPr>
        <w:pStyle w:val="Paragrafoelenco"/>
        <w:numPr>
          <w:ilvl w:val="0"/>
          <w:numId w:val="2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705FB">
        <w:rPr>
          <w:rFonts w:ascii="Arial" w:hAnsi="Arial" w:cs="Arial"/>
          <w:sz w:val="24"/>
          <w:szCs w:val="24"/>
        </w:rPr>
        <w:t>ecreto-legge 16 luglio 2020, n. 76, convertito, con modificazioni, dalla legge 11 settembre 2020, n. 120 recante «Misure urgenti per la semplificazione e l’innovazione digitale»</w:t>
      </w:r>
      <w:r w:rsidRPr="008705FB">
        <w:rPr>
          <w:rFonts w:ascii="Arial" w:hAnsi="Arial" w:cs="Arial"/>
          <w:sz w:val="24"/>
          <w:szCs w:val="24"/>
        </w:rPr>
        <w:tab/>
      </w:r>
    </w:p>
    <w:p w14:paraId="75835C00" w14:textId="15E990ED" w:rsidR="008705FB" w:rsidRDefault="008705FB" w:rsidP="00AC510F">
      <w:pPr>
        <w:pStyle w:val="Paragrafoelenco"/>
        <w:numPr>
          <w:ilvl w:val="0"/>
          <w:numId w:val="2"/>
        </w:num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Decreto del Ministro del lavoro e delle Politiche Sociali 31 marzo 2021, n. 72 di adozione delle Linee Guida sul rapporto tra Pubbliche Amministrazioni ed Enti del Terzo Settore negli articoli 55-57 del decreto legislativo 3 luglio 2017, n. 117</w:t>
      </w:r>
      <w:r w:rsidR="00B63603">
        <w:rPr>
          <w:rFonts w:ascii="Arial" w:hAnsi="Arial" w:cs="Arial"/>
          <w:sz w:val="24"/>
          <w:szCs w:val="24"/>
        </w:rPr>
        <w:t>.</w:t>
      </w:r>
    </w:p>
    <w:p w14:paraId="45945DCF" w14:textId="3F894499" w:rsidR="00B63603" w:rsidRDefault="00B63603" w:rsidP="00AC510F">
      <w:pPr>
        <w:pStyle w:val="Paragrafoelenco"/>
        <w:numPr>
          <w:ilvl w:val="0"/>
          <w:numId w:val="2"/>
        </w:num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Legge 7 agosto 1990, n. 241 </w:t>
      </w:r>
      <w:r w:rsidR="00550D1B">
        <w:rPr>
          <w:rFonts w:ascii="Arial" w:hAnsi="Arial" w:cs="Arial"/>
          <w:sz w:val="24"/>
          <w:szCs w:val="24"/>
        </w:rPr>
        <w:t>recante “Nuove norme in materia di procedimento amministrativo e di diritto di accesso ai documento amministrativi”</w:t>
      </w:r>
    </w:p>
    <w:p w14:paraId="101981CB" w14:textId="4979134A" w:rsidR="00197D4F" w:rsidRDefault="00197D4F" w:rsidP="00AC510F">
      <w:pPr>
        <w:pStyle w:val="Paragrafoelenco"/>
        <w:numPr>
          <w:ilvl w:val="0"/>
          <w:numId w:val="2"/>
        </w:num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D.G.R. Regione Lombardia 25 febbraio 2011, n. 1353 “Linee guida per la semplificazione amministrativa e la valorizzazione degli enti del Terzo Settore nell’ambito dei servizi alla persona e alla comunità” </w:t>
      </w:r>
    </w:p>
    <w:p w14:paraId="3161BBAD" w14:textId="1B14CED2" w:rsidR="00197D4F" w:rsidRDefault="00197D4F" w:rsidP="00AC510F">
      <w:pPr>
        <w:pStyle w:val="Paragrafoelenco"/>
        <w:numPr>
          <w:ilvl w:val="0"/>
          <w:numId w:val="2"/>
        </w:num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Decreto direttoriale Regione Lombardia 28 dicembre 2011, n. 12884 “Indicazioni in ordine alla procedura di co-progettazione fra Comune e soggetti del Terzo Settore per attività e interventi innovativi e sperimentali nel settore dei servizi sociali”</w:t>
      </w:r>
    </w:p>
    <w:p w14:paraId="3E11384E" w14:textId="77777777" w:rsidR="002F226D" w:rsidRDefault="002F226D" w:rsidP="00C906BB">
      <w:pPr>
        <w:pStyle w:val="Paragrafoelenco"/>
        <w:spacing w:after="0" w:line="240" w:lineRule="auto"/>
        <w:ind w:left="1125"/>
        <w:jc w:val="both"/>
        <w:rPr>
          <w:rFonts w:ascii="Arial" w:hAnsi="Arial" w:cs="Arial"/>
          <w:sz w:val="24"/>
          <w:szCs w:val="24"/>
        </w:rPr>
      </w:pPr>
    </w:p>
    <w:p w14:paraId="35A9DF67" w14:textId="77777777" w:rsidR="00A7760E" w:rsidRDefault="00A7760E" w:rsidP="00C906BB">
      <w:pPr>
        <w:pStyle w:val="Paragrafoelenco"/>
        <w:spacing w:after="0" w:line="240" w:lineRule="auto"/>
        <w:ind w:left="1125"/>
        <w:jc w:val="both"/>
        <w:rPr>
          <w:rFonts w:ascii="Arial" w:hAnsi="Arial" w:cs="Arial"/>
          <w:sz w:val="24"/>
          <w:szCs w:val="24"/>
        </w:rPr>
      </w:pPr>
    </w:p>
    <w:p w14:paraId="50EC4ECE" w14:textId="34DEAB2A" w:rsidR="00C906BB" w:rsidRPr="00675265" w:rsidRDefault="000C27E1" w:rsidP="002F226D">
      <w:pPr>
        <w:pStyle w:val="Paragrafoelenco"/>
        <w:numPr>
          <w:ilvl w:val="0"/>
          <w:numId w:val="18"/>
        </w:numPr>
        <w:rPr>
          <w:rFonts w:ascii="Arial" w:hAnsi="Arial" w:cs="Arial"/>
          <w:b/>
          <w:sz w:val="28"/>
          <w:szCs w:val="28"/>
        </w:rPr>
      </w:pPr>
      <w:r w:rsidRPr="00675265">
        <w:rPr>
          <w:rFonts w:ascii="Arial" w:hAnsi="Arial" w:cs="Arial"/>
          <w:b/>
          <w:sz w:val="28"/>
          <w:szCs w:val="28"/>
        </w:rPr>
        <w:t>L</w:t>
      </w:r>
      <w:r w:rsidR="00550D1B">
        <w:rPr>
          <w:rFonts w:ascii="Arial" w:hAnsi="Arial" w:cs="Arial"/>
          <w:b/>
          <w:sz w:val="28"/>
          <w:szCs w:val="28"/>
        </w:rPr>
        <w:t>’</w:t>
      </w:r>
      <w:r w:rsidRPr="00675265">
        <w:rPr>
          <w:rFonts w:ascii="Arial" w:hAnsi="Arial" w:cs="Arial"/>
          <w:b/>
          <w:sz w:val="28"/>
          <w:szCs w:val="28"/>
        </w:rPr>
        <w:t>a</w:t>
      </w:r>
      <w:r w:rsidR="00550D1B">
        <w:rPr>
          <w:rFonts w:ascii="Arial" w:hAnsi="Arial" w:cs="Arial"/>
          <w:b/>
          <w:sz w:val="28"/>
          <w:szCs w:val="28"/>
        </w:rPr>
        <w:t>vvio di attività di co-proget</w:t>
      </w:r>
      <w:r w:rsidR="00D1226F">
        <w:rPr>
          <w:rFonts w:ascii="Arial" w:hAnsi="Arial" w:cs="Arial"/>
          <w:b/>
          <w:sz w:val="28"/>
          <w:szCs w:val="28"/>
        </w:rPr>
        <w:t>t</w:t>
      </w:r>
      <w:r w:rsidR="00550D1B">
        <w:rPr>
          <w:rFonts w:ascii="Arial" w:hAnsi="Arial" w:cs="Arial"/>
          <w:b/>
          <w:sz w:val="28"/>
          <w:szCs w:val="28"/>
        </w:rPr>
        <w:t>azione</w:t>
      </w:r>
      <w:r w:rsidR="00D1226F">
        <w:rPr>
          <w:rFonts w:ascii="Arial" w:hAnsi="Arial" w:cs="Arial"/>
          <w:b/>
          <w:sz w:val="28"/>
          <w:szCs w:val="28"/>
        </w:rPr>
        <w:t xml:space="preserve"> a seguito di iniziativa di Enti del Terzo Settore</w:t>
      </w:r>
    </w:p>
    <w:p w14:paraId="14980D41" w14:textId="77777777" w:rsidR="00C906BB" w:rsidRPr="008346A3" w:rsidRDefault="00C906BB" w:rsidP="00C906BB">
      <w:pPr>
        <w:pStyle w:val="Paragrafoelenco"/>
        <w:spacing w:after="0" w:line="240" w:lineRule="auto"/>
        <w:ind w:left="1125"/>
        <w:jc w:val="both"/>
        <w:rPr>
          <w:rFonts w:ascii="Arial" w:hAnsi="Arial" w:cs="Arial"/>
          <w:sz w:val="24"/>
          <w:szCs w:val="24"/>
        </w:rPr>
      </w:pPr>
    </w:p>
    <w:p w14:paraId="4A078425" w14:textId="77777777" w:rsidR="00532842" w:rsidRDefault="008346A3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46A3">
        <w:rPr>
          <w:rFonts w:ascii="Arial" w:hAnsi="Arial" w:cs="Arial"/>
          <w:sz w:val="24"/>
          <w:szCs w:val="24"/>
        </w:rPr>
        <w:t xml:space="preserve">Come già evidenziato, </w:t>
      </w:r>
      <w:r w:rsidR="00532842">
        <w:rPr>
          <w:rFonts w:ascii="Arial" w:hAnsi="Arial" w:cs="Arial"/>
          <w:sz w:val="24"/>
          <w:szCs w:val="24"/>
        </w:rPr>
        <w:t xml:space="preserve">in relazione </w:t>
      </w:r>
      <w:r w:rsidRPr="008346A3">
        <w:rPr>
          <w:rFonts w:ascii="Arial" w:hAnsi="Arial" w:cs="Arial"/>
          <w:sz w:val="24"/>
          <w:szCs w:val="24"/>
        </w:rPr>
        <w:t xml:space="preserve">allo sviluppo della procedura di co-progettazione, fermo restando quanto previsto dalla regolamentazione regionale e locale, in primo luogo occorre ribadire che, trovando applicazione i principi del procedimento di cui alla legge n. 241/1990, l’iniziativa può essere anche di parte e, dunque, di uno o più ETS. </w:t>
      </w:r>
    </w:p>
    <w:p w14:paraId="68E6EFC8" w14:textId="77777777" w:rsidR="00732191" w:rsidRDefault="00732191" w:rsidP="000C27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89B91F" w14:textId="24EB7D2B" w:rsidR="00732191" w:rsidRPr="00675265" w:rsidRDefault="00732191" w:rsidP="002F226D">
      <w:pPr>
        <w:pStyle w:val="Paragrafoelenco"/>
        <w:numPr>
          <w:ilvl w:val="0"/>
          <w:numId w:val="18"/>
        </w:numPr>
        <w:rPr>
          <w:rFonts w:ascii="Arial" w:hAnsi="Arial" w:cs="Arial"/>
          <w:b/>
          <w:sz w:val="28"/>
          <w:szCs w:val="28"/>
        </w:rPr>
      </w:pPr>
      <w:r w:rsidRPr="00675265">
        <w:rPr>
          <w:rFonts w:ascii="Arial" w:hAnsi="Arial" w:cs="Arial"/>
          <w:b/>
          <w:sz w:val="28"/>
          <w:szCs w:val="28"/>
        </w:rPr>
        <w:t xml:space="preserve">Chi presenta istanza di </w:t>
      </w:r>
      <w:r w:rsidR="00CA2E6A">
        <w:rPr>
          <w:rFonts w:ascii="Arial" w:hAnsi="Arial" w:cs="Arial"/>
          <w:b/>
          <w:sz w:val="28"/>
          <w:szCs w:val="28"/>
        </w:rPr>
        <w:t>avvio di attività di co-progettazione</w:t>
      </w:r>
    </w:p>
    <w:p w14:paraId="048FE8EE" w14:textId="4FCFB548" w:rsidR="00732191" w:rsidRDefault="00732191" w:rsidP="00AC510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norma dell’articolo </w:t>
      </w:r>
      <w:r w:rsidR="0053284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comma </w:t>
      </w:r>
      <w:r w:rsidR="0053284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, del</w:t>
      </w:r>
      <w:r w:rsidR="00532842">
        <w:rPr>
          <w:rFonts w:ascii="Arial" w:hAnsi="Arial" w:cs="Arial"/>
          <w:sz w:val="24"/>
          <w:szCs w:val="24"/>
        </w:rPr>
        <w:t xml:space="preserve"> D. Lgs. 117/2017</w:t>
      </w:r>
      <w:r>
        <w:rPr>
          <w:rFonts w:ascii="Arial" w:hAnsi="Arial" w:cs="Arial"/>
          <w:sz w:val="24"/>
          <w:szCs w:val="24"/>
        </w:rPr>
        <w:t xml:space="preserve">, possono presentare istanza di </w:t>
      </w:r>
      <w:r w:rsidR="00532842">
        <w:rPr>
          <w:rFonts w:ascii="Arial" w:hAnsi="Arial" w:cs="Arial"/>
          <w:sz w:val="24"/>
          <w:szCs w:val="24"/>
        </w:rPr>
        <w:t>co-progettazione</w:t>
      </w:r>
      <w:r w:rsidR="00E346B3">
        <w:rPr>
          <w:rFonts w:ascii="Arial" w:hAnsi="Arial" w:cs="Arial"/>
          <w:sz w:val="24"/>
          <w:szCs w:val="24"/>
        </w:rPr>
        <w:t>, anche congiuntamente tra di loro</w:t>
      </w:r>
      <w:r w:rsidR="00532842">
        <w:rPr>
          <w:rFonts w:ascii="Arial" w:hAnsi="Arial" w:cs="Arial"/>
          <w:sz w:val="24"/>
          <w:szCs w:val="24"/>
        </w:rPr>
        <w:t>, i seguenti Enti del Terzo Settore iscritti nel Registri Unico Nazionale del Terzo Settore</w:t>
      </w:r>
      <w:r>
        <w:rPr>
          <w:rFonts w:ascii="Arial" w:hAnsi="Arial" w:cs="Arial"/>
          <w:sz w:val="24"/>
          <w:szCs w:val="24"/>
        </w:rPr>
        <w:t>:</w:t>
      </w:r>
    </w:p>
    <w:p w14:paraId="3E63ACC3" w14:textId="77777777" w:rsidR="00532842" w:rsidRDefault="00532842" w:rsidP="00532842">
      <w:pPr>
        <w:pStyle w:val="Paragrafoelenco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842">
        <w:rPr>
          <w:rFonts w:ascii="Arial" w:hAnsi="Arial" w:cs="Arial"/>
          <w:sz w:val="24"/>
          <w:szCs w:val="24"/>
        </w:rPr>
        <w:t>Le organizzazioni di volontariato</w:t>
      </w:r>
    </w:p>
    <w:p w14:paraId="7BA4BCB4" w14:textId="77777777" w:rsidR="00532842" w:rsidRDefault="00532842" w:rsidP="00532842">
      <w:pPr>
        <w:pStyle w:val="Paragrafoelenco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842">
        <w:rPr>
          <w:rFonts w:ascii="Arial" w:hAnsi="Arial" w:cs="Arial"/>
          <w:sz w:val="24"/>
          <w:szCs w:val="24"/>
        </w:rPr>
        <w:t>Le associazioni di promozione sociale</w:t>
      </w:r>
    </w:p>
    <w:p w14:paraId="0E6F5416" w14:textId="77777777" w:rsidR="00532842" w:rsidRDefault="00532842" w:rsidP="00532842">
      <w:pPr>
        <w:pStyle w:val="Paragrafoelenco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842">
        <w:rPr>
          <w:rFonts w:ascii="Arial" w:hAnsi="Arial" w:cs="Arial"/>
          <w:sz w:val="24"/>
          <w:szCs w:val="24"/>
        </w:rPr>
        <w:t>Gli enti filantropici</w:t>
      </w:r>
    </w:p>
    <w:p w14:paraId="65271023" w14:textId="77777777" w:rsidR="00532842" w:rsidRDefault="00532842" w:rsidP="00532842">
      <w:pPr>
        <w:pStyle w:val="Paragrafoelenco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842">
        <w:rPr>
          <w:rFonts w:ascii="Arial" w:hAnsi="Arial" w:cs="Arial"/>
          <w:sz w:val="24"/>
          <w:szCs w:val="24"/>
        </w:rPr>
        <w:t>Le imprese sociali, incluse le cooperative sociali</w:t>
      </w:r>
    </w:p>
    <w:p w14:paraId="542197DB" w14:textId="77777777" w:rsidR="00532842" w:rsidRDefault="00532842" w:rsidP="00532842">
      <w:pPr>
        <w:pStyle w:val="Paragrafoelenco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842">
        <w:rPr>
          <w:rFonts w:ascii="Arial" w:hAnsi="Arial" w:cs="Arial"/>
          <w:sz w:val="24"/>
          <w:szCs w:val="24"/>
        </w:rPr>
        <w:t>Le reti associative</w:t>
      </w:r>
    </w:p>
    <w:p w14:paraId="7B10C2A7" w14:textId="77777777" w:rsidR="00532842" w:rsidRDefault="00532842" w:rsidP="00532842">
      <w:pPr>
        <w:pStyle w:val="Paragrafoelenco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842">
        <w:rPr>
          <w:rFonts w:ascii="Arial" w:hAnsi="Arial" w:cs="Arial"/>
          <w:sz w:val="24"/>
          <w:szCs w:val="24"/>
        </w:rPr>
        <w:t>Le società di mutuo soccorso</w:t>
      </w:r>
    </w:p>
    <w:p w14:paraId="1C4B9A5A" w14:textId="77777777" w:rsidR="00532842" w:rsidRDefault="00532842" w:rsidP="00532842">
      <w:pPr>
        <w:pStyle w:val="Paragrafoelenco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842">
        <w:rPr>
          <w:rFonts w:ascii="Arial" w:hAnsi="Arial" w:cs="Arial"/>
          <w:sz w:val="24"/>
          <w:szCs w:val="24"/>
        </w:rPr>
        <w:t>Le associazioni, riconosciute o non riconosciute</w:t>
      </w:r>
    </w:p>
    <w:p w14:paraId="2BED7955" w14:textId="77777777" w:rsidR="00532842" w:rsidRDefault="00532842" w:rsidP="00532842">
      <w:pPr>
        <w:pStyle w:val="Paragrafoelenco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842">
        <w:rPr>
          <w:rFonts w:ascii="Arial" w:hAnsi="Arial" w:cs="Arial"/>
          <w:sz w:val="24"/>
          <w:szCs w:val="24"/>
        </w:rPr>
        <w:t>Le fondazioni</w:t>
      </w:r>
    </w:p>
    <w:p w14:paraId="4364AD0D" w14:textId="001066DD" w:rsidR="004F3A00" w:rsidRDefault="00532842" w:rsidP="00362321">
      <w:pPr>
        <w:pStyle w:val="Paragrafoelenco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2842">
        <w:rPr>
          <w:rFonts w:ascii="Arial" w:hAnsi="Arial" w:cs="Arial"/>
          <w:sz w:val="24"/>
          <w:szCs w:val="24"/>
        </w:rPr>
        <w:t>Gli altri enti di carattere privato diverse dalle società costituiti per il perseguimento, senza scopo di lucro, di finalità civiche, solidaristiche e di utilità sociale mediante lo svolgimento di una o più attività di interesse generale in forma di azione volontaria o di erogazione gratuita di denaro, beni o servizi, o di mutualità o di produzione o scambio di beni o servizi.</w:t>
      </w:r>
    </w:p>
    <w:p w14:paraId="1046DB45" w14:textId="084F1C25" w:rsidR="00532842" w:rsidRDefault="00532842" w:rsidP="00CA2E6A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F7605A" w14:textId="76383D46" w:rsidR="00197D4F" w:rsidRDefault="00197D4F" w:rsidP="00CA2E6A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693ABCD" w14:textId="4A32BD9A" w:rsidR="00197D4F" w:rsidRDefault="00197D4F" w:rsidP="00CA2E6A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7A08687" w14:textId="77777777" w:rsidR="00197D4F" w:rsidRPr="00532842" w:rsidRDefault="00197D4F" w:rsidP="00CA2E6A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5AF5649" w14:textId="5EA38104" w:rsidR="004773EF" w:rsidRDefault="004773EF" w:rsidP="002F226D">
      <w:pPr>
        <w:pStyle w:val="Paragrafoelenco"/>
        <w:numPr>
          <w:ilvl w:val="0"/>
          <w:numId w:val="18"/>
        </w:numPr>
        <w:rPr>
          <w:rFonts w:ascii="Arial" w:hAnsi="Arial" w:cs="Arial"/>
          <w:b/>
          <w:sz w:val="28"/>
          <w:szCs w:val="28"/>
        </w:rPr>
      </w:pPr>
      <w:r w:rsidRPr="00675265">
        <w:rPr>
          <w:rFonts w:ascii="Arial" w:hAnsi="Arial" w:cs="Arial"/>
          <w:b/>
          <w:sz w:val="28"/>
          <w:szCs w:val="28"/>
        </w:rPr>
        <w:lastRenderedPageBreak/>
        <w:t xml:space="preserve">Come presentare istanza di </w:t>
      </w:r>
      <w:r w:rsidR="00CA2E6A">
        <w:rPr>
          <w:rFonts w:ascii="Arial" w:hAnsi="Arial" w:cs="Arial"/>
          <w:b/>
          <w:sz w:val="28"/>
          <w:szCs w:val="28"/>
        </w:rPr>
        <w:t>avvio di attività di co-progettazione: le fasi</w:t>
      </w:r>
    </w:p>
    <w:p w14:paraId="028DD8B5" w14:textId="77777777" w:rsidR="00675265" w:rsidRPr="00675265" w:rsidRDefault="00675265" w:rsidP="00675265">
      <w:pPr>
        <w:pStyle w:val="Paragrafoelenco"/>
        <w:spacing w:after="0"/>
        <w:ind w:left="714"/>
        <w:rPr>
          <w:rFonts w:ascii="Arial" w:hAnsi="Arial" w:cs="Arial"/>
          <w:b/>
          <w:sz w:val="14"/>
          <w:szCs w:val="14"/>
        </w:rPr>
      </w:pPr>
    </w:p>
    <w:p w14:paraId="09569547" w14:textId="42C34186" w:rsidR="00532842" w:rsidRPr="00B72513" w:rsidRDefault="00FB2DD9" w:rsidP="005328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evidenziato nelle Linee Guida, adottate con decreto ministeriale 31 marzo 2021, n. 72, g</w:t>
      </w:r>
      <w:r w:rsidR="00532842" w:rsidRPr="00B72513">
        <w:rPr>
          <w:rFonts w:ascii="Arial" w:hAnsi="Arial" w:cs="Arial"/>
          <w:sz w:val="24"/>
          <w:szCs w:val="24"/>
        </w:rPr>
        <w:t xml:space="preserve">li ETS non possano limitarsi ad una </w:t>
      </w:r>
      <w:r w:rsidR="00532842">
        <w:rPr>
          <w:rFonts w:ascii="Arial" w:hAnsi="Arial" w:cs="Arial"/>
          <w:sz w:val="24"/>
          <w:szCs w:val="24"/>
        </w:rPr>
        <w:t xml:space="preserve">semplice </w:t>
      </w:r>
      <w:r w:rsidR="00532842" w:rsidRPr="00B72513">
        <w:rPr>
          <w:rFonts w:ascii="Arial" w:hAnsi="Arial" w:cs="Arial"/>
          <w:sz w:val="24"/>
          <w:szCs w:val="24"/>
        </w:rPr>
        <w:t>richiesta, rivolta all’</w:t>
      </w:r>
      <w:r w:rsidR="00532842">
        <w:rPr>
          <w:rFonts w:ascii="Arial" w:hAnsi="Arial" w:cs="Arial"/>
          <w:sz w:val="24"/>
          <w:szCs w:val="24"/>
        </w:rPr>
        <w:t>A</w:t>
      </w:r>
      <w:r w:rsidR="00532842" w:rsidRPr="00B72513">
        <w:rPr>
          <w:rFonts w:ascii="Arial" w:hAnsi="Arial" w:cs="Arial"/>
          <w:sz w:val="24"/>
          <w:szCs w:val="24"/>
        </w:rPr>
        <w:t xml:space="preserve">mministrazione competente, affinché attivi un procedimento di co-progettazione, posto che quest’ultima non è obbligata a rispondere a tale richiesta, né – in ogni caso – a darvi corso. </w:t>
      </w:r>
    </w:p>
    <w:p w14:paraId="59A97032" w14:textId="77777777" w:rsidR="00532842" w:rsidRPr="00B72513" w:rsidRDefault="00532842" w:rsidP="005328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513">
        <w:rPr>
          <w:rFonts w:ascii="Arial" w:hAnsi="Arial" w:cs="Arial"/>
          <w:sz w:val="24"/>
          <w:szCs w:val="24"/>
        </w:rPr>
        <w:t>Gli ETS, singoli o associati, devono formalizzare all’</w:t>
      </w:r>
      <w:r>
        <w:rPr>
          <w:rFonts w:ascii="Arial" w:hAnsi="Arial" w:cs="Arial"/>
          <w:sz w:val="24"/>
          <w:szCs w:val="24"/>
        </w:rPr>
        <w:t>A</w:t>
      </w:r>
      <w:r w:rsidRPr="00B72513">
        <w:rPr>
          <w:rFonts w:ascii="Arial" w:hAnsi="Arial" w:cs="Arial"/>
          <w:sz w:val="24"/>
          <w:szCs w:val="24"/>
        </w:rPr>
        <w:t xml:space="preserve">mministrazione una proposta progettuale, nella quale siano chiaramente indicati l’idea progettuale proposta, le attività rimesse alla cura del partenariato del privato sociale, ivi comprese le risorse messe a disposizione e le eventuali richieste, anche con riferimento alle risorse, indirizzate dall’ente. </w:t>
      </w:r>
    </w:p>
    <w:p w14:paraId="4D3815C9" w14:textId="77777777" w:rsidR="008346A3" w:rsidRPr="00B72513" w:rsidRDefault="008346A3" w:rsidP="008346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513">
        <w:rPr>
          <w:rFonts w:ascii="Arial" w:hAnsi="Arial" w:cs="Arial"/>
          <w:sz w:val="24"/>
          <w:szCs w:val="24"/>
        </w:rPr>
        <w:t xml:space="preserve">Alle proposte non manifestamente inammissibili si applicano le regole previste dalla legge n. 241/1990 ed in particolare in materia di istruttoria, di conclusione del procedimento, di motivazione del provvedimento finale. </w:t>
      </w:r>
    </w:p>
    <w:p w14:paraId="6B1DBA55" w14:textId="77777777" w:rsidR="00FB2DD9" w:rsidRDefault="00FB2DD9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7035CB4" w14:textId="57B58E37" w:rsidR="00CA2E6A" w:rsidRDefault="00CA2E6A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fine di ottimizzare il percorso per il possibile avvio dell’attività di co-progettazione, si ritiene di proporre le seguenti fasi.</w:t>
      </w:r>
    </w:p>
    <w:p w14:paraId="16BF5559" w14:textId="1DACED97" w:rsidR="00D216EF" w:rsidRPr="00CA2E6A" w:rsidRDefault="00D216EF" w:rsidP="00CA2E6A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2E6A">
        <w:rPr>
          <w:rFonts w:ascii="Arial" w:hAnsi="Arial" w:cs="Arial"/>
          <w:sz w:val="24"/>
          <w:szCs w:val="24"/>
        </w:rPr>
        <w:t>Il</w:t>
      </w:r>
      <w:r w:rsidR="00CA2E6A">
        <w:rPr>
          <w:rFonts w:ascii="Arial" w:hAnsi="Arial" w:cs="Arial"/>
          <w:sz w:val="24"/>
          <w:szCs w:val="24"/>
        </w:rPr>
        <w:t>/i</w:t>
      </w:r>
      <w:r w:rsidRPr="00CA2E6A">
        <w:rPr>
          <w:rFonts w:ascii="Arial" w:hAnsi="Arial" w:cs="Arial"/>
          <w:sz w:val="24"/>
          <w:szCs w:val="24"/>
        </w:rPr>
        <w:t xml:space="preserve"> </w:t>
      </w:r>
      <w:r w:rsidR="00CA2E6A">
        <w:rPr>
          <w:rFonts w:ascii="Arial" w:hAnsi="Arial" w:cs="Arial"/>
          <w:sz w:val="24"/>
          <w:szCs w:val="24"/>
        </w:rPr>
        <w:t>S</w:t>
      </w:r>
      <w:r w:rsidRPr="00CA2E6A">
        <w:rPr>
          <w:rFonts w:ascii="Arial" w:hAnsi="Arial" w:cs="Arial"/>
          <w:sz w:val="24"/>
          <w:szCs w:val="24"/>
        </w:rPr>
        <w:t>oggetto</w:t>
      </w:r>
      <w:r w:rsidR="00CA2E6A">
        <w:rPr>
          <w:rFonts w:ascii="Arial" w:hAnsi="Arial" w:cs="Arial"/>
          <w:sz w:val="24"/>
          <w:szCs w:val="24"/>
        </w:rPr>
        <w:t xml:space="preserve">/i del Terzo Settore </w:t>
      </w:r>
      <w:r w:rsidRPr="00CA2E6A">
        <w:rPr>
          <w:rFonts w:ascii="Arial" w:hAnsi="Arial" w:cs="Arial"/>
          <w:sz w:val="24"/>
          <w:szCs w:val="24"/>
        </w:rPr>
        <w:t xml:space="preserve">che intende </w:t>
      </w:r>
      <w:r w:rsidR="001B2DB1">
        <w:rPr>
          <w:rFonts w:ascii="Arial" w:hAnsi="Arial" w:cs="Arial"/>
          <w:sz w:val="24"/>
          <w:szCs w:val="24"/>
        </w:rPr>
        <w:t xml:space="preserve">proporre l’avvio di un’attività di co-progettazione </w:t>
      </w:r>
      <w:r w:rsidRPr="00CA2E6A">
        <w:rPr>
          <w:rFonts w:ascii="Arial" w:hAnsi="Arial" w:cs="Arial"/>
          <w:sz w:val="24"/>
          <w:szCs w:val="24"/>
        </w:rPr>
        <w:t xml:space="preserve">deve chiedere un primo confronto con il Settore </w:t>
      </w:r>
      <w:r w:rsidR="001B2DB1">
        <w:rPr>
          <w:rFonts w:ascii="Arial" w:hAnsi="Arial" w:cs="Arial"/>
          <w:sz w:val="24"/>
          <w:szCs w:val="24"/>
        </w:rPr>
        <w:t xml:space="preserve">di riferimento del Comune </w:t>
      </w:r>
      <w:r w:rsidRPr="00CA2E6A">
        <w:rPr>
          <w:rFonts w:ascii="Arial" w:hAnsi="Arial" w:cs="Arial"/>
          <w:sz w:val="24"/>
          <w:szCs w:val="24"/>
        </w:rPr>
        <w:t xml:space="preserve">per finalità informative </w:t>
      </w:r>
      <w:r w:rsidR="00E346B3" w:rsidRPr="00CA2E6A">
        <w:rPr>
          <w:rFonts w:ascii="Arial" w:hAnsi="Arial" w:cs="Arial"/>
          <w:sz w:val="24"/>
          <w:szCs w:val="24"/>
        </w:rPr>
        <w:t xml:space="preserve">preliminari e per approfondire </w:t>
      </w:r>
      <w:r w:rsidRPr="00CA2E6A">
        <w:rPr>
          <w:rFonts w:ascii="Arial" w:hAnsi="Arial" w:cs="Arial"/>
          <w:sz w:val="24"/>
          <w:szCs w:val="24"/>
        </w:rPr>
        <w:t xml:space="preserve">la valenza strategica </w:t>
      </w:r>
      <w:r w:rsidR="00E2431D" w:rsidRPr="00CA2E6A">
        <w:rPr>
          <w:rFonts w:ascii="Arial" w:hAnsi="Arial" w:cs="Arial"/>
          <w:sz w:val="24"/>
          <w:szCs w:val="24"/>
        </w:rPr>
        <w:t xml:space="preserve">e operativa </w:t>
      </w:r>
      <w:r w:rsidR="001B2DB1">
        <w:rPr>
          <w:rFonts w:ascii="Arial" w:hAnsi="Arial" w:cs="Arial"/>
          <w:sz w:val="24"/>
          <w:szCs w:val="24"/>
        </w:rPr>
        <w:t>del progetto di servizio o di intervento</w:t>
      </w:r>
      <w:r w:rsidR="00E2431D" w:rsidRPr="00CA2E6A">
        <w:rPr>
          <w:rFonts w:ascii="Arial" w:hAnsi="Arial" w:cs="Arial"/>
          <w:sz w:val="24"/>
          <w:szCs w:val="24"/>
        </w:rPr>
        <w:t>,</w:t>
      </w:r>
      <w:r w:rsidRPr="00CA2E6A">
        <w:rPr>
          <w:rFonts w:ascii="Arial" w:hAnsi="Arial" w:cs="Arial"/>
          <w:sz w:val="24"/>
          <w:szCs w:val="24"/>
        </w:rPr>
        <w:t xml:space="preserve"> sia in relazione alla programmazione </w:t>
      </w:r>
      <w:r w:rsidR="005F731F">
        <w:rPr>
          <w:rFonts w:ascii="Arial" w:hAnsi="Arial" w:cs="Arial"/>
          <w:sz w:val="24"/>
          <w:szCs w:val="24"/>
        </w:rPr>
        <w:t xml:space="preserve">del Comune </w:t>
      </w:r>
      <w:r w:rsidRPr="00CA2E6A">
        <w:rPr>
          <w:rFonts w:ascii="Arial" w:hAnsi="Arial" w:cs="Arial"/>
          <w:sz w:val="24"/>
          <w:szCs w:val="24"/>
        </w:rPr>
        <w:t>sia in relazione alle ripercussioni ed agli impatti sul sistema domanda/offerta.</w:t>
      </w:r>
    </w:p>
    <w:p w14:paraId="4539F6A6" w14:textId="35C5BD82" w:rsidR="004773EF" w:rsidRPr="005F731F" w:rsidRDefault="004516F7" w:rsidP="005F731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731F">
        <w:rPr>
          <w:rFonts w:ascii="Arial" w:hAnsi="Arial" w:cs="Arial"/>
          <w:sz w:val="24"/>
          <w:szCs w:val="24"/>
        </w:rPr>
        <w:t xml:space="preserve">A fronte dell’esito della consultazione preliminare, </w:t>
      </w:r>
      <w:r w:rsidR="00E2431D" w:rsidRPr="005F731F">
        <w:rPr>
          <w:rFonts w:ascii="Arial" w:hAnsi="Arial" w:cs="Arial"/>
          <w:sz w:val="24"/>
          <w:szCs w:val="24"/>
        </w:rPr>
        <w:t xml:space="preserve">di norma formalizzata in specifico documento contenente i risultati della riflessione comune, </w:t>
      </w:r>
      <w:r w:rsidRPr="005F731F">
        <w:rPr>
          <w:rFonts w:ascii="Arial" w:hAnsi="Arial" w:cs="Arial"/>
          <w:sz w:val="24"/>
          <w:szCs w:val="24"/>
        </w:rPr>
        <w:t xml:space="preserve">il soggetto/ente gestore </w:t>
      </w:r>
      <w:r w:rsidR="004773EF" w:rsidRPr="005F731F">
        <w:rPr>
          <w:rFonts w:ascii="Arial" w:hAnsi="Arial" w:cs="Arial"/>
          <w:sz w:val="24"/>
          <w:szCs w:val="24"/>
        </w:rPr>
        <w:t xml:space="preserve">che intende presentare istanza di </w:t>
      </w:r>
      <w:r w:rsidR="005F731F">
        <w:rPr>
          <w:rFonts w:ascii="Arial" w:hAnsi="Arial" w:cs="Arial"/>
          <w:sz w:val="24"/>
          <w:szCs w:val="24"/>
        </w:rPr>
        <w:t>avvio di co-progettazione</w:t>
      </w:r>
      <w:r w:rsidR="004773EF" w:rsidRPr="005F731F">
        <w:rPr>
          <w:rFonts w:ascii="Arial" w:hAnsi="Arial" w:cs="Arial"/>
          <w:sz w:val="24"/>
          <w:szCs w:val="24"/>
        </w:rPr>
        <w:t xml:space="preserve"> utilizza la modulistica predisposta dal Comune, allegando tutta la documentazione prevista</w:t>
      </w:r>
      <w:r w:rsidR="005445A3">
        <w:rPr>
          <w:rFonts w:ascii="Arial" w:hAnsi="Arial" w:cs="Arial"/>
          <w:sz w:val="24"/>
          <w:szCs w:val="24"/>
        </w:rPr>
        <w:t xml:space="preserve"> al Settore di riferimento del Comune</w:t>
      </w:r>
      <w:r w:rsidR="004773EF" w:rsidRPr="005F731F">
        <w:rPr>
          <w:rFonts w:ascii="Arial" w:hAnsi="Arial" w:cs="Arial"/>
          <w:sz w:val="24"/>
          <w:szCs w:val="24"/>
        </w:rPr>
        <w:t>, e, nello specifico:</w:t>
      </w:r>
    </w:p>
    <w:p w14:paraId="5BB81B70" w14:textId="77777777" w:rsidR="004773EF" w:rsidRPr="00EE2B07" w:rsidRDefault="004773EF" w:rsidP="004773EF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577A4ECC" w14:textId="77777777" w:rsidR="00B559E8" w:rsidRDefault="00B559E8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Istanza (allegato 1)</w:t>
      </w:r>
    </w:p>
    <w:p w14:paraId="719DE686" w14:textId="77777777" w:rsidR="00FB2DD9" w:rsidRDefault="004773EF" w:rsidP="000A1939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 w:rsidRPr="00B559E8">
        <w:rPr>
          <w:rFonts w:ascii="Arial" w:hAnsi="Arial" w:cs="Arial"/>
          <w:sz w:val="24"/>
          <w:szCs w:val="24"/>
        </w:rPr>
        <w:t>Pro</w:t>
      </w:r>
      <w:r w:rsidR="006A059E" w:rsidRPr="00B559E8">
        <w:rPr>
          <w:rFonts w:ascii="Arial" w:hAnsi="Arial" w:cs="Arial"/>
          <w:sz w:val="24"/>
          <w:szCs w:val="24"/>
        </w:rPr>
        <w:t>posta progettuale</w:t>
      </w:r>
      <w:r w:rsidR="00B559E8" w:rsidRPr="00B559E8">
        <w:rPr>
          <w:rFonts w:ascii="Arial" w:hAnsi="Arial" w:cs="Arial"/>
          <w:sz w:val="24"/>
          <w:szCs w:val="24"/>
        </w:rPr>
        <w:t>, p</w:t>
      </w:r>
      <w:r w:rsidR="00DA63F0" w:rsidRPr="00B559E8">
        <w:rPr>
          <w:rFonts w:ascii="Arial" w:hAnsi="Arial" w:cs="Arial"/>
          <w:sz w:val="24"/>
          <w:szCs w:val="24"/>
        </w:rPr>
        <w:t>rogrammazione delle attività</w:t>
      </w:r>
      <w:r w:rsidR="00B559E8" w:rsidRPr="00B559E8">
        <w:rPr>
          <w:rFonts w:ascii="Arial" w:hAnsi="Arial" w:cs="Arial"/>
          <w:sz w:val="24"/>
          <w:szCs w:val="24"/>
        </w:rPr>
        <w:t xml:space="preserve"> </w:t>
      </w:r>
      <w:r w:rsidR="00FB2DD9">
        <w:rPr>
          <w:rFonts w:ascii="Arial" w:hAnsi="Arial" w:cs="Arial"/>
          <w:sz w:val="24"/>
          <w:szCs w:val="24"/>
        </w:rPr>
        <w:t>(allegato 2)</w:t>
      </w:r>
    </w:p>
    <w:p w14:paraId="273F653F" w14:textId="0F558EE5" w:rsidR="002C18A6" w:rsidRPr="00B559E8" w:rsidRDefault="00FB2DD9" w:rsidP="000A1939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2C18A6" w:rsidRPr="00B559E8">
        <w:rPr>
          <w:rFonts w:ascii="Arial" w:hAnsi="Arial" w:cs="Arial"/>
          <w:sz w:val="24"/>
          <w:szCs w:val="24"/>
        </w:rPr>
        <w:t>revisione costi/ricavi</w:t>
      </w:r>
      <w:r w:rsidR="00B559E8" w:rsidRPr="00B559E8">
        <w:rPr>
          <w:rFonts w:ascii="Arial" w:hAnsi="Arial" w:cs="Arial"/>
          <w:sz w:val="24"/>
          <w:szCs w:val="24"/>
        </w:rPr>
        <w:t xml:space="preserve"> (allegato 2</w:t>
      </w:r>
      <w:r>
        <w:rPr>
          <w:rFonts w:ascii="Arial" w:hAnsi="Arial" w:cs="Arial"/>
          <w:sz w:val="24"/>
          <w:szCs w:val="24"/>
        </w:rPr>
        <w:t>a</w:t>
      </w:r>
      <w:r w:rsidR="00B559E8" w:rsidRPr="00B559E8">
        <w:rPr>
          <w:rFonts w:ascii="Arial" w:hAnsi="Arial" w:cs="Arial"/>
          <w:sz w:val="24"/>
          <w:szCs w:val="24"/>
        </w:rPr>
        <w:t>)</w:t>
      </w:r>
    </w:p>
    <w:p w14:paraId="383EFB25" w14:textId="135464CF" w:rsidR="00DA63F0" w:rsidRDefault="00DA63F0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Standard gestionali (relazione secondo la scheda allegato </w:t>
      </w:r>
      <w:r w:rsidR="0020074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p w14:paraId="63357AA7" w14:textId="77777777" w:rsidR="002C18A6" w:rsidRPr="004773EF" w:rsidRDefault="002C18A6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Scheda planimetrica dei locali</w:t>
      </w:r>
      <w:r w:rsidR="00A4609B">
        <w:rPr>
          <w:rFonts w:ascii="Arial" w:hAnsi="Arial" w:cs="Arial"/>
          <w:sz w:val="24"/>
          <w:szCs w:val="24"/>
        </w:rPr>
        <w:t>, ove ricorra il caso</w:t>
      </w:r>
    </w:p>
    <w:p w14:paraId="15AF4C0F" w14:textId="77777777" w:rsidR="004773EF" w:rsidRPr="004773EF" w:rsidRDefault="004773EF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 w:rsidRPr="004773EF">
        <w:rPr>
          <w:rFonts w:ascii="Arial" w:hAnsi="Arial" w:cs="Arial"/>
          <w:sz w:val="24"/>
          <w:szCs w:val="24"/>
        </w:rPr>
        <w:lastRenderedPageBreak/>
        <w:t>Regolamento di accesso</w:t>
      </w:r>
    </w:p>
    <w:p w14:paraId="0105AACD" w14:textId="1BBDB376" w:rsidR="004773EF" w:rsidRPr="004773EF" w:rsidRDefault="004773EF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 w:rsidRPr="004773EF">
        <w:rPr>
          <w:rFonts w:ascii="Arial" w:hAnsi="Arial" w:cs="Arial"/>
          <w:sz w:val="24"/>
          <w:szCs w:val="24"/>
        </w:rPr>
        <w:t>Carta dei Servizi, inclusiva delle modalità di rilevazione della customer satisfaction</w:t>
      </w:r>
      <w:r>
        <w:rPr>
          <w:rFonts w:ascii="Arial" w:hAnsi="Arial" w:cs="Arial"/>
          <w:sz w:val="24"/>
          <w:szCs w:val="24"/>
        </w:rPr>
        <w:t xml:space="preserve">, secondo le caratteristiche evidenziate nell’allegato </w:t>
      </w:r>
      <w:r w:rsidR="0020074A">
        <w:rPr>
          <w:rFonts w:ascii="Arial" w:hAnsi="Arial" w:cs="Arial"/>
          <w:sz w:val="24"/>
          <w:szCs w:val="24"/>
        </w:rPr>
        <w:t>4</w:t>
      </w:r>
    </w:p>
    <w:p w14:paraId="51763BA9" w14:textId="77777777" w:rsidR="004773EF" w:rsidRPr="002C18A6" w:rsidRDefault="004773EF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 w:rsidRPr="002C18A6">
        <w:rPr>
          <w:rFonts w:ascii="Arial" w:hAnsi="Arial" w:cs="Arial"/>
          <w:sz w:val="24"/>
          <w:szCs w:val="24"/>
        </w:rPr>
        <w:t xml:space="preserve">Altra documentazione ritenuta idonea </w:t>
      </w:r>
      <w:r w:rsidR="002C18A6" w:rsidRPr="002C18A6">
        <w:rPr>
          <w:rFonts w:ascii="Arial" w:hAnsi="Arial" w:cs="Arial"/>
          <w:sz w:val="24"/>
          <w:szCs w:val="24"/>
        </w:rPr>
        <w:t>ai fini della trattazione della istanza</w:t>
      </w:r>
    </w:p>
    <w:p w14:paraId="3FDB9D49" w14:textId="77777777" w:rsidR="004773EF" w:rsidRPr="004773EF" w:rsidRDefault="004773EF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 w:rsidRPr="004773EF">
        <w:rPr>
          <w:rFonts w:ascii="Arial" w:hAnsi="Arial" w:cs="Arial"/>
          <w:sz w:val="24"/>
          <w:szCs w:val="24"/>
        </w:rPr>
        <w:t>Dichiarazione sostitutiva assenza condanne penali del Legale Rappresentante</w:t>
      </w:r>
    </w:p>
    <w:p w14:paraId="672DC51F" w14:textId="77777777" w:rsidR="004773EF" w:rsidRPr="004773EF" w:rsidRDefault="004773EF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 w:rsidRPr="004773EF">
        <w:rPr>
          <w:rFonts w:ascii="Arial" w:hAnsi="Arial" w:cs="Arial"/>
          <w:sz w:val="24"/>
          <w:szCs w:val="24"/>
        </w:rPr>
        <w:t>Dichiarazione sostitutiva carichi pendenti del Rappresentante Legale</w:t>
      </w:r>
    </w:p>
    <w:p w14:paraId="61F01AAA" w14:textId="21B50DF7" w:rsidR="004773EF" w:rsidRPr="004773EF" w:rsidRDefault="004773EF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 w:rsidRPr="004773EF">
        <w:rPr>
          <w:rFonts w:ascii="Arial" w:hAnsi="Arial" w:cs="Arial"/>
          <w:sz w:val="24"/>
          <w:szCs w:val="24"/>
        </w:rPr>
        <w:t>Dichiarazione sostitutiva certificazione antimafia ex Legge n. 55/1990 art. 7</w:t>
      </w:r>
    </w:p>
    <w:p w14:paraId="533BD4E2" w14:textId="0455AAC2" w:rsidR="004773EF" w:rsidRDefault="004773EF" w:rsidP="004773EF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 w:rsidRPr="004773EF">
        <w:rPr>
          <w:rFonts w:ascii="Arial" w:hAnsi="Arial" w:cs="Arial"/>
          <w:sz w:val="24"/>
          <w:szCs w:val="24"/>
        </w:rPr>
        <w:t>Fotocopia carta identità del legale rappresentante.</w:t>
      </w:r>
    </w:p>
    <w:p w14:paraId="6584936A" w14:textId="77777777" w:rsidR="00197D4F" w:rsidRPr="004773EF" w:rsidRDefault="00197D4F" w:rsidP="00197D4F">
      <w:pPr>
        <w:widowControl w:val="0"/>
        <w:autoSpaceDE w:val="0"/>
        <w:autoSpaceDN w:val="0"/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3962B5DF" w14:textId="77777777" w:rsidR="004773EF" w:rsidRPr="00EE2B07" w:rsidRDefault="004773EF" w:rsidP="002C18A6">
      <w:pPr>
        <w:pStyle w:val="Paragrafoelenco"/>
        <w:spacing w:after="0" w:line="240" w:lineRule="auto"/>
        <w:jc w:val="both"/>
        <w:rPr>
          <w:rFonts w:ascii="Arial" w:hAnsi="Arial" w:cs="Arial"/>
          <w:sz w:val="6"/>
          <w:szCs w:val="6"/>
        </w:rPr>
      </w:pPr>
    </w:p>
    <w:p w14:paraId="58934067" w14:textId="6652DC9A" w:rsidR="00415B1F" w:rsidRDefault="00415B1F" w:rsidP="00415B1F">
      <w:pPr>
        <w:pStyle w:val="Paragrafoelenco"/>
        <w:numPr>
          <w:ilvl w:val="0"/>
          <w:numId w:val="18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Durata de</w:t>
      </w:r>
      <w:r w:rsidR="006A059E">
        <w:rPr>
          <w:rFonts w:ascii="Arial" w:hAnsi="Arial" w:cs="Arial"/>
          <w:b/>
          <w:sz w:val="28"/>
          <w:szCs w:val="28"/>
        </w:rPr>
        <w:t>i progetti</w:t>
      </w:r>
    </w:p>
    <w:p w14:paraId="241A995E" w14:textId="3E11491A" w:rsidR="00415B1F" w:rsidRPr="00415B1F" w:rsidRDefault="00415B1F" w:rsidP="00415B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="006A059E">
        <w:rPr>
          <w:rFonts w:ascii="Arial" w:hAnsi="Arial" w:cs="Arial"/>
          <w:sz w:val="24"/>
          <w:szCs w:val="24"/>
        </w:rPr>
        <w:t xml:space="preserve">proposta progettuale dovrà considerare una durata </w:t>
      </w:r>
      <w:r w:rsidR="00F1364A">
        <w:rPr>
          <w:rFonts w:ascii="Arial" w:hAnsi="Arial" w:cs="Arial"/>
          <w:sz w:val="24"/>
          <w:szCs w:val="24"/>
        </w:rPr>
        <w:t>in un periodo compreso tra i due ed i quattro anni.</w:t>
      </w:r>
    </w:p>
    <w:p w14:paraId="2B7A7ED8" w14:textId="77777777" w:rsidR="00415B1F" w:rsidRPr="0079039F" w:rsidRDefault="00415B1F" w:rsidP="00415B1F">
      <w:pPr>
        <w:ind w:left="360"/>
        <w:rPr>
          <w:rFonts w:ascii="Arial" w:hAnsi="Arial" w:cs="Arial"/>
          <w:b/>
          <w:sz w:val="16"/>
          <w:szCs w:val="16"/>
        </w:rPr>
      </w:pPr>
    </w:p>
    <w:p w14:paraId="1560FA31" w14:textId="66F820DF" w:rsidR="00AE39E3" w:rsidRDefault="00AE39E3" w:rsidP="00415B1F">
      <w:pPr>
        <w:pStyle w:val="Paragrafoelenco"/>
        <w:numPr>
          <w:ilvl w:val="0"/>
          <w:numId w:val="18"/>
        </w:numPr>
        <w:rPr>
          <w:rFonts w:ascii="Arial" w:hAnsi="Arial" w:cs="Arial"/>
          <w:b/>
          <w:sz w:val="28"/>
          <w:szCs w:val="28"/>
        </w:rPr>
      </w:pPr>
      <w:r w:rsidRPr="00675265">
        <w:rPr>
          <w:rFonts w:ascii="Arial" w:hAnsi="Arial" w:cs="Arial"/>
          <w:b/>
          <w:sz w:val="28"/>
          <w:szCs w:val="28"/>
        </w:rPr>
        <w:t xml:space="preserve">La trattazione della istanza </w:t>
      </w:r>
      <w:r w:rsidR="005445A3">
        <w:rPr>
          <w:rFonts w:ascii="Arial" w:hAnsi="Arial" w:cs="Arial"/>
          <w:b/>
          <w:sz w:val="28"/>
          <w:szCs w:val="28"/>
        </w:rPr>
        <w:t>e il flusso di processo</w:t>
      </w:r>
    </w:p>
    <w:p w14:paraId="446AD57C" w14:textId="77777777" w:rsidR="00675265" w:rsidRPr="00675265" w:rsidRDefault="00675265" w:rsidP="00675265">
      <w:pPr>
        <w:pStyle w:val="Paragrafoelenco"/>
        <w:spacing w:after="0"/>
        <w:ind w:left="714"/>
        <w:rPr>
          <w:rFonts w:ascii="Arial" w:hAnsi="Arial" w:cs="Arial"/>
          <w:b/>
          <w:sz w:val="14"/>
          <w:szCs w:val="14"/>
        </w:rPr>
      </w:pPr>
    </w:p>
    <w:p w14:paraId="518CCBEA" w14:textId="0DE5FCC1" w:rsidR="00AE39E3" w:rsidRDefault="004268B7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Settore di riferimento, anche per il tramite di apposita Commissione, </w:t>
      </w:r>
      <w:r w:rsidR="00AE39E3">
        <w:rPr>
          <w:rFonts w:ascii="Arial" w:hAnsi="Arial" w:cs="Arial"/>
          <w:sz w:val="24"/>
          <w:szCs w:val="24"/>
        </w:rPr>
        <w:t>istruisce l’istanza attraverso l’apporto di figure tecniche ed amministrative:</w:t>
      </w:r>
    </w:p>
    <w:p w14:paraId="2177AFFE" w14:textId="77777777" w:rsidR="004F3A00" w:rsidRPr="004F3A00" w:rsidRDefault="004F3A00" w:rsidP="001F4312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07A770E7" w14:textId="22B471EC" w:rsidR="00AE39E3" w:rsidRPr="00AE39E3" w:rsidRDefault="00AE39E3" w:rsidP="001F4312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39E3">
        <w:rPr>
          <w:rFonts w:ascii="Arial" w:hAnsi="Arial" w:cs="Arial"/>
          <w:sz w:val="24"/>
          <w:szCs w:val="24"/>
        </w:rPr>
        <w:t>controllando e verificando la documentazione presentata</w:t>
      </w:r>
      <w:r w:rsidR="0020074A">
        <w:rPr>
          <w:rFonts w:ascii="Arial" w:hAnsi="Arial" w:cs="Arial"/>
          <w:sz w:val="24"/>
          <w:szCs w:val="24"/>
        </w:rPr>
        <w:t xml:space="preserve"> (a</w:t>
      </w:r>
      <w:r w:rsidR="00EE2B07">
        <w:rPr>
          <w:rFonts w:ascii="Arial" w:hAnsi="Arial" w:cs="Arial"/>
          <w:sz w:val="24"/>
          <w:szCs w:val="24"/>
        </w:rPr>
        <w:t xml:space="preserve">llegato </w:t>
      </w:r>
      <w:r w:rsidR="0020074A">
        <w:rPr>
          <w:rFonts w:ascii="Arial" w:hAnsi="Arial" w:cs="Arial"/>
          <w:sz w:val="24"/>
          <w:szCs w:val="24"/>
        </w:rPr>
        <w:t>5</w:t>
      </w:r>
      <w:r w:rsidR="00EE2B07">
        <w:rPr>
          <w:rFonts w:ascii="Arial" w:hAnsi="Arial" w:cs="Arial"/>
          <w:sz w:val="24"/>
          <w:szCs w:val="24"/>
        </w:rPr>
        <w:t>)</w:t>
      </w:r>
    </w:p>
    <w:p w14:paraId="3281C577" w14:textId="14E1210D" w:rsidR="00EE2B07" w:rsidRPr="00AE39E3" w:rsidRDefault="00AE39E3" w:rsidP="001F4312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39E3">
        <w:rPr>
          <w:rFonts w:ascii="Arial" w:hAnsi="Arial" w:cs="Arial"/>
          <w:sz w:val="24"/>
          <w:szCs w:val="24"/>
        </w:rPr>
        <w:t>esprimendo</w:t>
      </w:r>
      <w:r>
        <w:rPr>
          <w:rFonts w:ascii="Arial" w:hAnsi="Arial" w:cs="Arial"/>
          <w:sz w:val="24"/>
          <w:szCs w:val="24"/>
        </w:rPr>
        <w:t xml:space="preserve"> una valutazione circa </w:t>
      </w:r>
      <w:r w:rsidR="004268B7">
        <w:rPr>
          <w:rFonts w:ascii="Arial" w:hAnsi="Arial" w:cs="Arial"/>
          <w:sz w:val="24"/>
          <w:szCs w:val="24"/>
        </w:rPr>
        <w:t>la proposta progettuale, in relazione alla programmazione dell’Ente, alla sostenibilità economica, all’apporto del/i Soggetto/i proponenti</w:t>
      </w:r>
      <w:r w:rsidR="00B559E8">
        <w:rPr>
          <w:rFonts w:ascii="Arial" w:hAnsi="Arial" w:cs="Arial"/>
          <w:sz w:val="24"/>
          <w:szCs w:val="24"/>
        </w:rPr>
        <w:t xml:space="preserve"> (allegato 5)</w:t>
      </w:r>
    </w:p>
    <w:p w14:paraId="751EFD39" w14:textId="7F0CC03E" w:rsidR="00AE39E3" w:rsidRDefault="00AE39E3" w:rsidP="001F4312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acquisendo</w:t>
      </w:r>
      <w:r w:rsidR="004268B7">
        <w:rPr>
          <w:rFonts w:ascii="Arial" w:hAnsi="Arial" w:cs="Arial"/>
          <w:sz w:val="24"/>
          <w:szCs w:val="24"/>
        </w:rPr>
        <w:t>, qualora necessario,</w:t>
      </w:r>
      <w:r>
        <w:rPr>
          <w:rFonts w:ascii="Arial" w:hAnsi="Arial" w:cs="Arial"/>
          <w:sz w:val="24"/>
          <w:szCs w:val="24"/>
        </w:rPr>
        <w:t xml:space="preserve"> il parere dell’Ufficio di Piano</w:t>
      </w:r>
      <w:r w:rsidR="004268B7">
        <w:rPr>
          <w:rFonts w:ascii="Arial" w:hAnsi="Arial" w:cs="Arial"/>
          <w:sz w:val="24"/>
          <w:szCs w:val="24"/>
        </w:rPr>
        <w:t xml:space="preserve"> dell’Ambito Territoriale di appartenenza del Comune</w:t>
      </w:r>
      <w:r>
        <w:rPr>
          <w:rFonts w:ascii="Arial" w:hAnsi="Arial" w:cs="Arial"/>
          <w:sz w:val="24"/>
          <w:szCs w:val="24"/>
        </w:rPr>
        <w:t>.</w:t>
      </w:r>
    </w:p>
    <w:p w14:paraId="40E57B1A" w14:textId="77777777" w:rsidR="00AE39E3" w:rsidRDefault="00AE39E3" w:rsidP="001F4312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3EB076FA" w14:textId="77777777" w:rsidR="00A7760E" w:rsidRDefault="00A7760E" w:rsidP="001F4312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12D12931" w14:textId="77777777" w:rsidR="00454E66" w:rsidRDefault="00454E66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Nel caso di carenza di documentazione e/o di esigenza di acquisire ulteriore documentazione per un approfondimento, si invita il Soggetto proponente ad inoltrare quanto richiesto nel tempo massimo di trenta giorni dalla richiesta. </w:t>
      </w:r>
    </w:p>
    <w:p w14:paraId="3687C28C" w14:textId="60A93666" w:rsidR="00454E66" w:rsidRDefault="00454E66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L’istruttoria deve concludersi nel termine di trenta giorni lavorativi.</w:t>
      </w:r>
    </w:p>
    <w:p w14:paraId="0919E1EA" w14:textId="38E84979" w:rsidR="004268B7" w:rsidRDefault="00D018B9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 rispetto dell’organizzazione del singolo Ente, l</w:t>
      </w:r>
      <w:r w:rsidR="00AE39E3">
        <w:rPr>
          <w:rFonts w:ascii="Arial" w:hAnsi="Arial" w:cs="Arial"/>
          <w:sz w:val="24"/>
          <w:szCs w:val="24"/>
        </w:rPr>
        <w:t>a pratica</w:t>
      </w:r>
      <w:r w:rsidR="00EE2B07">
        <w:rPr>
          <w:rFonts w:ascii="Arial" w:hAnsi="Arial" w:cs="Arial"/>
          <w:sz w:val="24"/>
          <w:szCs w:val="24"/>
        </w:rPr>
        <w:t xml:space="preserve"> viene proposta </w:t>
      </w:r>
      <w:r>
        <w:rPr>
          <w:rFonts w:ascii="Arial" w:hAnsi="Arial" w:cs="Arial"/>
          <w:sz w:val="24"/>
          <w:szCs w:val="24"/>
        </w:rPr>
        <w:t xml:space="preserve">alla Giunta Comunale ovvero al </w:t>
      </w:r>
      <w:r w:rsidR="00EE2B07">
        <w:rPr>
          <w:rFonts w:ascii="Arial" w:hAnsi="Arial" w:cs="Arial"/>
          <w:sz w:val="24"/>
          <w:szCs w:val="24"/>
        </w:rPr>
        <w:t>Dirigente</w:t>
      </w:r>
      <w:r w:rsidR="004268B7">
        <w:rPr>
          <w:rFonts w:ascii="Arial" w:hAnsi="Arial" w:cs="Arial"/>
          <w:sz w:val="24"/>
          <w:szCs w:val="24"/>
        </w:rPr>
        <w:t xml:space="preserve">/Responsabile </w:t>
      </w:r>
      <w:r w:rsidR="00EE2B07">
        <w:rPr>
          <w:rFonts w:ascii="Arial" w:hAnsi="Arial" w:cs="Arial"/>
          <w:sz w:val="24"/>
          <w:szCs w:val="24"/>
        </w:rPr>
        <w:t>per l’approvazione ovvero per il diniego</w:t>
      </w:r>
      <w:r w:rsidR="004268B7">
        <w:rPr>
          <w:rFonts w:ascii="Arial" w:hAnsi="Arial" w:cs="Arial"/>
          <w:sz w:val="24"/>
          <w:szCs w:val="24"/>
        </w:rPr>
        <w:t>.</w:t>
      </w:r>
    </w:p>
    <w:p w14:paraId="1A1376F0" w14:textId="0E690FF3" w:rsidR="00FB2DD9" w:rsidRDefault="00D018B9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Nel caso di </w:t>
      </w:r>
      <w:r w:rsidR="00FB2DD9">
        <w:rPr>
          <w:rFonts w:ascii="Arial" w:hAnsi="Arial" w:cs="Arial"/>
          <w:sz w:val="24"/>
          <w:szCs w:val="24"/>
        </w:rPr>
        <w:t>determinazione di approvazione viene comunicata alla Giunta Comunale per presa d’atto.</w:t>
      </w:r>
    </w:p>
    <w:p w14:paraId="79482EE0" w14:textId="4F24AA0A" w:rsidR="00FB2DD9" w:rsidRDefault="00FB2DD9" w:rsidP="001F431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 caso di esito negativo, sarà inviata comunicazione preventiva di diniego, a norma dell’articolo 10-bis della legge 241/1990 e la successiva comunicazione di non accoglimento della istanza.</w:t>
      </w:r>
    </w:p>
    <w:p w14:paraId="0532AC70" w14:textId="040E055B" w:rsidR="004268B7" w:rsidRDefault="004268B7" w:rsidP="004268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2E6A">
        <w:rPr>
          <w:rFonts w:ascii="Arial" w:hAnsi="Arial" w:cs="Arial"/>
          <w:sz w:val="24"/>
          <w:szCs w:val="24"/>
        </w:rPr>
        <w:t>In caso di accoglimento di una proposta presentata dagli ETS, singoli o associati, l’ente procedente pubblica a quel punto un avviso, con il quale si dà notizia della valutazione positiva della proposta ricevuta e si dà agli altri ETS, eventualmente interessati, la possibilità di presentare la propria proposta progettuale, con la conseguente valutazione comparativa fra le proposte pervenute.</w:t>
      </w:r>
    </w:p>
    <w:p w14:paraId="28F01E2C" w14:textId="2D266A03" w:rsidR="004268B7" w:rsidRDefault="004268B7" w:rsidP="004268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Nell’avviso andranno ad essere esplicitati i criteri di valutazione delle proposte ai fini della comparazione.</w:t>
      </w:r>
    </w:p>
    <w:p w14:paraId="35BDC617" w14:textId="6A6B5A7F" w:rsidR="004268B7" w:rsidRDefault="004268B7" w:rsidP="004268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tale fine, potrebbero essere considerati, quali esempi:</w:t>
      </w:r>
    </w:p>
    <w:p w14:paraId="43954BD2" w14:textId="77777777" w:rsidR="004268B7" w:rsidRDefault="004268B7" w:rsidP="004268B7">
      <w:pPr>
        <w:pStyle w:val="Paragrafoelenco"/>
        <w:numPr>
          <w:ilvl w:val="0"/>
          <w:numId w:val="2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Affidabilità del Soggetto proponente, con riferimento a:</w:t>
      </w:r>
    </w:p>
    <w:p w14:paraId="518A9B3E" w14:textId="77267A75" w:rsidR="004268B7" w:rsidRDefault="004268B7" w:rsidP="004268B7">
      <w:pPr>
        <w:pStyle w:val="Paragrafoelenco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Competenza del Soggetto proponente sia per dimensioni operative sia per esperienza maturata nell’ambito relativo </w:t>
      </w:r>
      <w:r w:rsidR="005445A3">
        <w:rPr>
          <w:rFonts w:ascii="Arial" w:hAnsi="Arial" w:cs="Arial"/>
          <w:sz w:val="24"/>
          <w:szCs w:val="24"/>
        </w:rPr>
        <w:t>all’attività progettuale proposta</w:t>
      </w:r>
      <w:r>
        <w:rPr>
          <w:rFonts w:ascii="Arial" w:hAnsi="Arial" w:cs="Arial"/>
          <w:sz w:val="24"/>
          <w:szCs w:val="24"/>
        </w:rPr>
        <w:t>.</w:t>
      </w:r>
    </w:p>
    <w:p w14:paraId="4D727F33" w14:textId="75DFFBAD" w:rsidR="004268B7" w:rsidRDefault="005445A3" w:rsidP="004268B7">
      <w:pPr>
        <w:pStyle w:val="Paragrafoelenco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Apporto di risorse umane, strumentali e finanziarie</w:t>
      </w:r>
    </w:p>
    <w:p w14:paraId="3C86B406" w14:textId="1B95BBDC" w:rsidR="004268B7" w:rsidRDefault="004268B7" w:rsidP="004268B7">
      <w:pPr>
        <w:pStyle w:val="Paragrafoelenco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Utilizzo di strutture e attrezzature possedute o disponibili per svolgere le attività previste nella proposta </w:t>
      </w:r>
      <w:r w:rsidR="005445A3">
        <w:rPr>
          <w:rFonts w:ascii="Arial" w:hAnsi="Arial" w:cs="Arial"/>
          <w:sz w:val="24"/>
          <w:szCs w:val="24"/>
        </w:rPr>
        <w:t>progettuale</w:t>
      </w:r>
    </w:p>
    <w:p w14:paraId="16B5249F" w14:textId="77777777" w:rsidR="004268B7" w:rsidRDefault="004268B7" w:rsidP="004268B7">
      <w:pPr>
        <w:pStyle w:val="Paragrafoelenco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Formalizzazione di rapporti di collaborazione con la rete</w:t>
      </w:r>
    </w:p>
    <w:p w14:paraId="3E4AA474" w14:textId="77777777" w:rsidR="004268B7" w:rsidRDefault="004268B7" w:rsidP="004268B7">
      <w:pPr>
        <w:pStyle w:val="Paragrafoelenco"/>
        <w:numPr>
          <w:ilvl w:val="0"/>
          <w:numId w:val="2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Elementi di innovazione, con riferimento a:</w:t>
      </w:r>
    </w:p>
    <w:p w14:paraId="5093D4ED" w14:textId="77777777" w:rsidR="004268B7" w:rsidRDefault="004268B7" w:rsidP="004268B7">
      <w:pPr>
        <w:pStyle w:val="Paragrafoelenco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Erogazione dei servizi</w:t>
      </w:r>
    </w:p>
    <w:p w14:paraId="525C5952" w14:textId="77777777" w:rsidR="004268B7" w:rsidRDefault="004268B7" w:rsidP="004268B7">
      <w:pPr>
        <w:pStyle w:val="Paragrafoelenco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Coinvolgimento della rete degli interventi e servizi</w:t>
      </w:r>
    </w:p>
    <w:p w14:paraId="3BDB74BB" w14:textId="77777777" w:rsidR="004268B7" w:rsidRDefault="004268B7" w:rsidP="004268B7">
      <w:pPr>
        <w:pStyle w:val="Paragrafoelenco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Raccordo con l’Ente Pubblico</w:t>
      </w:r>
    </w:p>
    <w:p w14:paraId="6D1A10E2" w14:textId="77777777" w:rsidR="004268B7" w:rsidRDefault="004268B7" w:rsidP="004268B7">
      <w:pPr>
        <w:pStyle w:val="Paragrafoelenco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Modalità gestionali</w:t>
      </w:r>
    </w:p>
    <w:p w14:paraId="1C069DF9" w14:textId="77777777" w:rsidR="004268B7" w:rsidRDefault="004268B7" w:rsidP="004268B7">
      <w:pPr>
        <w:pStyle w:val="Paragrafoelenco"/>
        <w:numPr>
          <w:ilvl w:val="0"/>
          <w:numId w:val="2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Qualità progettuale, con riferimento a:</w:t>
      </w:r>
    </w:p>
    <w:p w14:paraId="44E71447" w14:textId="77777777" w:rsidR="004268B7" w:rsidRDefault="004268B7" w:rsidP="004268B7">
      <w:pPr>
        <w:pStyle w:val="Paragrafoelenco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Coerenza con la programmazione territoriale</w:t>
      </w:r>
    </w:p>
    <w:p w14:paraId="7001B1D2" w14:textId="77777777" w:rsidR="004268B7" w:rsidRDefault="004268B7" w:rsidP="004268B7">
      <w:pPr>
        <w:pStyle w:val="Paragrafoelenco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Coerenza tra i bisogni dei potenziali fruitori/beneficiari inseriti nella proposta e gli obiettivi descritti nella proposta medesima</w:t>
      </w:r>
    </w:p>
    <w:p w14:paraId="0C0FB0D1" w14:textId="77777777" w:rsidR="004268B7" w:rsidRDefault="004268B7" w:rsidP="004268B7">
      <w:pPr>
        <w:pStyle w:val="Paragrafoelenco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Numero dei potenziali fruitori/beneficiari</w:t>
      </w:r>
    </w:p>
    <w:p w14:paraId="50FEE837" w14:textId="77777777" w:rsidR="004268B7" w:rsidRDefault="004268B7" w:rsidP="004268B7">
      <w:pPr>
        <w:pStyle w:val="Paragrafoelenco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Pianificazione e distribuzione delle azioni e delle attività</w:t>
      </w:r>
    </w:p>
    <w:p w14:paraId="5E1F58DA" w14:textId="77777777" w:rsidR="004268B7" w:rsidRDefault="004268B7" w:rsidP="004268B7">
      <w:pPr>
        <w:pStyle w:val="Paragrafoelenco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Strumenti di monitoraggio e di esito</w:t>
      </w:r>
    </w:p>
    <w:p w14:paraId="73A078FC" w14:textId="77777777" w:rsidR="004268B7" w:rsidRDefault="004268B7" w:rsidP="004268B7">
      <w:pPr>
        <w:pStyle w:val="Paragrafoelenco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Congruenza dei costi complessivi e delle singole voci di spesa preventivate con le attività previste e gli obiettivi sottesi</w:t>
      </w:r>
    </w:p>
    <w:p w14:paraId="6E4E5AEC" w14:textId="77777777" w:rsidR="004268B7" w:rsidRDefault="004268B7" w:rsidP="004268B7">
      <w:pPr>
        <w:pStyle w:val="Paragrafoelenco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Completezza delle voci di costo e di entrata.</w:t>
      </w:r>
    </w:p>
    <w:p w14:paraId="7753B588" w14:textId="77777777" w:rsidR="005445A3" w:rsidRDefault="005445A3" w:rsidP="005445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4A3FBBC" w14:textId="1C15470E" w:rsidR="004F3A00" w:rsidRPr="005445A3" w:rsidRDefault="005445A3" w:rsidP="005445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5445A3">
        <w:rPr>
          <w:rFonts w:ascii="Arial" w:hAnsi="Arial" w:cs="Arial"/>
          <w:sz w:val="24"/>
          <w:szCs w:val="24"/>
        </w:rPr>
        <w:t>'amministrazione conclude il procedimento con atto motivato, cui seguirà la sottoscrizione della convenzione per l'attivazione del rapporto di collaborazione con gli ETS, singoli o associati, la cui proposta progettuale sia stata ritenuta come quella più rispondente alle finalità dell'ente medesimo.</w:t>
      </w:r>
    </w:p>
    <w:p w14:paraId="4CE8E36A" w14:textId="77777777" w:rsidR="004C67A5" w:rsidRPr="000F0DCE" w:rsidRDefault="004C67A5" w:rsidP="005445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2E8F2F" w14:textId="77777777" w:rsidR="004C67A5" w:rsidRDefault="004C67A5" w:rsidP="00445FDF">
      <w:pPr>
        <w:pStyle w:val="Paragrafoelenco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9616AE" w14:textId="77777777" w:rsidR="00EE2B07" w:rsidRDefault="00EE2B07" w:rsidP="00EE2B07">
      <w:pPr>
        <w:pStyle w:val="Paragrafoelenco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EE2B07" w:rsidSect="00325B0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8882A" w14:textId="77777777" w:rsidR="00DD53AB" w:rsidRDefault="00DD53AB" w:rsidP="00675265">
      <w:pPr>
        <w:spacing w:after="0" w:line="240" w:lineRule="auto"/>
      </w:pPr>
      <w:r>
        <w:separator/>
      </w:r>
    </w:p>
  </w:endnote>
  <w:endnote w:type="continuationSeparator" w:id="0">
    <w:p w14:paraId="67F9B50F" w14:textId="77777777" w:rsidR="00DD53AB" w:rsidRDefault="00DD53AB" w:rsidP="0067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71751284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EndPr/>
        <w:sdtContent>
          <w:p w14:paraId="0786C405" w14:textId="77777777" w:rsidR="00FF35FC" w:rsidRDefault="00DD53AB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it-IT"/>
              </w:rPr>
              <w:pict w14:anchorId="69313A17">
                <v:oval id="Ovale 10" o:spid="_x0000_s2049" style="position:absolute;margin-left:0;margin-top:0;width:49.35pt;height:49.35pt;z-index:251659264;visibility:visible;mso-position-horizontal:center;mso-position-horizontal-relative:margin;mso-position-vertical:center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" fillcolor="#40618b" stroked="f">
                  <v:textbox inset="0,,0">
                    <w:txbxContent>
                      <w:p w14:paraId="208E799F" w14:textId="77777777" w:rsidR="00FF35FC" w:rsidRDefault="00AB183A">
                        <w:pPr>
                          <w:pStyle w:val="Pidipagina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szCs w:val="21"/>
                          </w:rPr>
                          <w:fldChar w:fldCharType="begin"/>
                        </w:r>
                        <w:r w:rsidR="00FF35FC">
                          <w:instrText>PAGE    \* MERGEFORMAT</w:instrText>
                        </w:r>
                        <w:r>
                          <w:rPr>
                            <w:szCs w:val="21"/>
                          </w:rPr>
                          <w:fldChar w:fldCharType="separate"/>
                        </w:r>
                        <w:r w:rsidR="0079039F" w:rsidRPr="0079039F">
                          <w:rPr>
                            <w:b/>
                            <w:bCs/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8</w:t>
                        </w:r>
                        <w: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w:r>
          </w:p>
        </w:sdtContent>
      </w:sdt>
    </w:sdtContent>
  </w:sdt>
  <w:p w14:paraId="581AA80A" w14:textId="77777777" w:rsidR="00FF35FC" w:rsidRDefault="00FF35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E49DD" w14:textId="77777777" w:rsidR="00DD53AB" w:rsidRDefault="00DD53AB" w:rsidP="00675265">
      <w:pPr>
        <w:spacing w:after="0" w:line="240" w:lineRule="auto"/>
      </w:pPr>
      <w:r>
        <w:separator/>
      </w:r>
    </w:p>
  </w:footnote>
  <w:footnote w:type="continuationSeparator" w:id="0">
    <w:p w14:paraId="49CD0E76" w14:textId="77777777" w:rsidR="00DD53AB" w:rsidRDefault="00DD53AB" w:rsidP="0067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38F9"/>
    <w:multiLevelType w:val="hybridMultilevel"/>
    <w:tmpl w:val="B1DE41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980"/>
    <w:multiLevelType w:val="hybridMultilevel"/>
    <w:tmpl w:val="F6AE3D4E"/>
    <w:lvl w:ilvl="0" w:tplc="EC74C8D4">
      <w:start w:val="1"/>
      <w:numFmt w:val="lowerLetter"/>
      <w:lvlText w:val="%1)"/>
      <w:lvlJc w:val="left"/>
      <w:pPr>
        <w:ind w:left="1125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7737485"/>
    <w:multiLevelType w:val="hybridMultilevel"/>
    <w:tmpl w:val="E2F2F5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27A6"/>
    <w:multiLevelType w:val="hybridMultilevel"/>
    <w:tmpl w:val="4D2E2B3C"/>
    <w:lvl w:ilvl="0" w:tplc="E844F97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620A2"/>
    <w:multiLevelType w:val="hybridMultilevel"/>
    <w:tmpl w:val="433E24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D551A"/>
    <w:multiLevelType w:val="hybridMultilevel"/>
    <w:tmpl w:val="9B98C238"/>
    <w:lvl w:ilvl="0" w:tplc="5DB20662">
      <w:start w:val="1"/>
      <w:numFmt w:val="bullet"/>
      <w:lvlText w:val=""/>
      <w:lvlJc w:val="righ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A027441"/>
    <w:multiLevelType w:val="hybridMultilevel"/>
    <w:tmpl w:val="796A7A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63CF7"/>
    <w:multiLevelType w:val="hybridMultilevel"/>
    <w:tmpl w:val="08B8D19A"/>
    <w:lvl w:ilvl="0" w:tplc="920432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E0DE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7AC8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A411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2A5D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DEC7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8A82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26DC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F4B6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8AD44"/>
    <w:multiLevelType w:val="singleLevel"/>
    <w:tmpl w:val="77619352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9" w15:restartNumberingAfterBreak="0">
    <w:nsid w:val="1F361FCB"/>
    <w:multiLevelType w:val="hybridMultilevel"/>
    <w:tmpl w:val="BB4625D8"/>
    <w:lvl w:ilvl="0" w:tplc="99C2463A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23104F"/>
    <w:multiLevelType w:val="hybridMultilevel"/>
    <w:tmpl w:val="8D88208A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2250D1A"/>
    <w:multiLevelType w:val="hybridMultilevel"/>
    <w:tmpl w:val="ACDA9A8A"/>
    <w:lvl w:ilvl="0" w:tplc="2D9ABB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12797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CDE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36A2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5AEC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0AB9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FEC8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FAF5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E6EB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16117"/>
    <w:multiLevelType w:val="hybridMultilevel"/>
    <w:tmpl w:val="00B443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A5D93"/>
    <w:multiLevelType w:val="singleLevel"/>
    <w:tmpl w:val="1FFFC06D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14" w15:restartNumberingAfterBreak="0">
    <w:nsid w:val="3CEA0C9E"/>
    <w:multiLevelType w:val="hybridMultilevel"/>
    <w:tmpl w:val="8946D8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86094"/>
    <w:multiLevelType w:val="multilevel"/>
    <w:tmpl w:val="AEE07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F07C7B"/>
    <w:multiLevelType w:val="hybridMultilevel"/>
    <w:tmpl w:val="7DB28E80"/>
    <w:lvl w:ilvl="0" w:tplc="482C3C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9811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E85E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F0D3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1CEDF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0C44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C7D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8293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825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74B50"/>
    <w:multiLevelType w:val="singleLevel"/>
    <w:tmpl w:val="05D09221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18" w15:restartNumberingAfterBreak="0">
    <w:nsid w:val="57C18CCB"/>
    <w:multiLevelType w:val="singleLevel"/>
    <w:tmpl w:val="4170D052"/>
    <w:lvl w:ilvl="0">
      <w:numFmt w:val="bullet"/>
      <w:lvlText w:val="�"/>
      <w:lvlJc w:val="left"/>
      <w:pPr>
        <w:tabs>
          <w:tab w:val="num" w:pos="720"/>
        </w:tabs>
        <w:ind w:left="360"/>
      </w:pPr>
      <w:rPr>
        <w:rFonts w:ascii="Arial" w:hAnsi="Arial" w:cs="Arial" w:hint="default"/>
        <w:color w:val="000000"/>
      </w:rPr>
    </w:lvl>
  </w:abstractNum>
  <w:abstractNum w:abstractNumId="19" w15:restartNumberingAfterBreak="0">
    <w:nsid w:val="5BA750E3"/>
    <w:multiLevelType w:val="hybridMultilevel"/>
    <w:tmpl w:val="CE10FB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56673"/>
    <w:multiLevelType w:val="hybridMultilevel"/>
    <w:tmpl w:val="223000B2"/>
    <w:lvl w:ilvl="0" w:tplc="99C2463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473B8B"/>
    <w:multiLevelType w:val="hybridMultilevel"/>
    <w:tmpl w:val="1EE8FB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172C26"/>
    <w:multiLevelType w:val="hybridMultilevel"/>
    <w:tmpl w:val="33B2AA5A"/>
    <w:lvl w:ilvl="0" w:tplc="D0CE173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ap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8A1"/>
    <w:multiLevelType w:val="hybridMultilevel"/>
    <w:tmpl w:val="3E4666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B12DD4"/>
    <w:multiLevelType w:val="hybridMultilevel"/>
    <w:tmpl w:val="3402A7D8"/>
    <w:lvl w:ilvl="0" w:tplc="9586CD5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75F044D0"/>
    <w:multiLevelType w:val="hybridMultilevel"/>
    <w:tmpl w:val="98F21C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E7FD0"/>
    <w:multiLevelType w:val="hybridMultilevel"/>
    <w:tmpl w:val="D71621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73051A"/>
    <w:multiLevelType w:val="hybridMultilevel"/>
    <w:tmpl w:val="CF6E6714"/>
    <w:lvl w:ilvl="0" w:tplc="99C2463A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A171DF"/>
    <w:multiLevelType w:val="hybridMultilevel"/>
    <w:tmpl w:val="9B86070C"/>
    <w:lvl w:ilvl="0" w:tplc="42EE1874">
      <w:start w:val="1"/>
      <w:numFmt w:val="lowerLetter"/>
      <w:lvlText w:val="%1)"/>
      <w:lvlJc w:val="left"/>
      <w:pPr>
        <w:ind w:left="112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0"/>
  </w:num>
  <w:num w:numId="2">
    <w:abstractNumId w:val="5"/>
  </w:num>
  <w:num w:numId="3">
    <w:abstractNumId w:val="25"/>
  </w:num>
  <w:num w:numId="4">
    <w:abstractNumId w:val="10"/>
  </w:num>
  <w:num w:numId="5">
    <w:abstractNumId w:val="28"/>
  </w:num>
  <w:num w:numId="6">
    <w:abstractNumId w:val="1"/>
  </w:num>
  <w:num w:numId="7">
    <w:abstractNumId w:val="24"/>
  </w:num>
  <w:num w:numId="8">
    <w:abstractNumId w:val="3"/>
  </w:num>
  <w:num w:numId="9">
    <w:abstractNumId w:val="22"/>
  </w:num>
  <w:num w:numId="10">
    <w:abstractNumId w:val="26"/>
  </w:num>
  <w:num w:numId="11">
    <w:abstractNumId w:val="17"/>
  </w:num>
  <w:num w:numId="12">
    <w:abstractNumId w:val="13"/>
  </w:num>
  <w:num w:numId="13">
    <w:abstractNumId w:val="18"/>
  </w:num>
  <w:num w:numId="14">
    <w:abstractNumId w:val="8"/>
  </w:num>
  <w:num w:numId="15">
    <w:abstractNumId w:val="21"/>
  </w:num>
  <w:num w:numId="16">
    <w:abstractNumId w:val="23"/>
  </w:num>
  <w:num w:numId="17">
    <w:abstractNumId w:val="4"/>
  </w:num>
  <w:num w:numId="18">
    <w:abstractNumId w:val="6"/>
  </w:num>
  <w:num w:numId="19">
    <w:abstractNumId w:val="19"/>
  </w:num>
  <w:num w:numId="20">
    <w:abstractNumId w:val="14"/>
  </w:num>
  <w:num w:numId="21">
    <w:abstractNumId w:val="27"/>
  </w:num>
  <w:num w:numId="22">
    <w:abstractNumId w:val="9"/>
  </w:num>
  <w:num w:numId="23">
    <w:abstractNumId w:val="15"/>
  </w:num>
  <w:num w:numId="24">
    <w:abstractNumId w:val="0"/>
  </w:num>
  <w:num w:numId="25">
    <w:abstractNumId w:val="16"/>
  </w:num>
  <w:num w:numId="26">
    <w:abstractNumId w:val="11"/>
  </w:num>
  <w:num w:numId="27">
    <w:abstractNumId w:val="7"/>
  </w:num>
  <w:num w:numId="28">
    <w:abstractNumId w:val="1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2D8"/>
    <w:rsid w:val="00095BC7"/>
    <w:rsid w:val="000A2430"/>
    <w:rsid w:val="000C27E1"/>
    <w:rsid w:val="000D1D32"/>
    <w:rsid w:val="000F0DCE"/>
    <w:rsid w:val="00154FD9"/>
    <w:rsid w:val="00194598"/>
    <w:rsid w:val="001969C0"/>
    <w:rsid w:val="00197D4F"/>
    <w:rsid w:val="001B2DB1"/>
    <w:rsid w:val="001F4312"/>
    <w:rsid w:val="0020074A"/>
    <w:rsid w:val="002357CC"/>
    <w:rsid w:val="002418E9"/>
    <w:rsid w:val="002956F9"/>
    <w:rsid w:val="002C18A6"/>
    <w:rsid w:val="002F226D"/>
    <w:rsid w:val="00324DB8"/>
    <w:rsid w:val="00325B03"/>
    <w:rsid w:val="00325C12"/>
    <w:rsid w:val="00371CE8"/>
    <w:rsid w:val="0037703C"/>
    <w:rsid w:val="003E0AEC"/>
    <w:rsid w:val="003F13B5"/>
    <w:rsid w:val="00415B1F"/>
    <w:rsid w:val="004268B7"/>
    <w:rsid w:val="00440076"/>
    <w:rsid w:val="00445FDF"/>
    <w:rsid w:val="00451637"/>
    <w:rsid w:val="004516F7"/>
    <w:rsid w:val="00454E66"/>
    <w:rsid w:val="004773EF"/>
    <w:rsid w:val="00477E66"/>
    <w:rsid w:val="004C67A5"/>
    <w:rsid w:val="004F3A00"/>
    <w:rsid w:val="00505110"/>
    <w:rsid w:val="00532842"/>
    <w:rsid w:val="00543CB4"/>
    <w:rsid w:val="005445A3"/>
    <w:rsid w:val="00550D1B"/>
    <w:rsid w:val="00552745"/>
    <w:rsid w:val="0059569B"/>
    <w:rsid w:val="0059688D"/>
    <w:rsid w:val="005F731F"/>
    <w:rsid w:val="00636351"/>
    <w:rsid w:val="006622EE"/>
    <w:rsid w:val="00675265"/>
    <w:rsid w:val="006832EB"/>
    <w:rsid w:val="006A059E"/>
    <w:rsid w:val="006A4325"/>
    <w:rsid w:val="006F297F"/>
    <w:rsid w:val="00732191"/>
    <w:rsid w:val="00774EDE"/>
    <w:rsid w:val="0079039F"/>
    <w:rsid w:val="008346A3"/>
    <w:rsid w:val="0083514C"/>
    <w:rsid w:val="008450AD"/>
    <w:rsid w:val="0086101D"/>
    <w:rsid w:val="008705FB"/>
    <w:rsid w:val="00873BC8"/>
    <w:rsid w:val="008822D8"/>
    <w:rsid w:val="008D1B53"/>
    <w:rsid w:val="009020D0"/>
    <w:rsid w:val="00907A2F"/>
    <w:rsid w:val="009451B0"/>
    <w:rsid w:val="009726E8"/>
    <w:rsid w:val="009A36A9"/>
    <w:rsid w:val="009A7EA9"/>
    <w:rsid w:val="009D669B"/>
    <w:rsid w:val="00A01CBD"/>
    <w:rsid w:val="00A06E48"/>
    <w:rsid w:val="00A254B3"/>
    <w:rsid w:val="00A4609B"/>
    <w:rsid w:val="00A47D32"/>
    <w:rsid w:val="00A57488"/>
    <w:rsid w:val="00A7760E"/>
    <w:rsid w:val="00A868C2"/>
    <w:rsid w:val="00AB183A"/>
    <w:rsid w:val="00AC1203"/>
    <w:rsid w:val="00AC510F"/>
    <w:rsid w:val="00AE39E3"/>
    <w:rsid w:val="00B129ED"/>
    <w:rsid w:val="00B559E8"/>
    <w:rsid w:val="00B63603"/>
    <w:rsid w:val="00B72513"/>
    <w:rsid w:val="00B80EBF"/>
    <w:rsid w:val="00B92AEB"/>
    <w:rsid w:val="00C357BC"/>
    <w:rsid w:val="00C37B89"/>
    <w:rsid w:val="00C53C28"/>
    <w:rsid w:val="00C906BB"/>
    <w:rsid w:val="00CA2E6A"/>
    <w:rsid w:val="00D018B9"/>
    <w:rsid w:val="00D1226F"/>
    <w:rsid w:val="00D216EF"/>
    <w:rsid w:val="00D300F5"/>
    <w:rsid w:val="00D37804"/>
    <w:rsid w:val="00D81A6D"/>
    <w:rsid w:val="00DA63F0"/>
    <w:rsid w:val="00DA6CC0"/>
    <w:rsid w:val="00DD53AB"/>
    <w:rsid w:val="00DF73F6"/>
    <w:rsid w:val="00E2431D"/>
    <w:rsid w:val="00E346B3"/>
    <w:rsid w:val="00E41592"/>
    <w:rsid w:val="00EA57BF"/>
    <w:rsid w:val="00EB2A06"/>
    <w:rsid w:val="00EE2B07"/>
    <w:rsid w:val="00F1364A"/>
    <w:rsid w:val="00F144DA"/>
    <w:rsid w:val="00F230B1"/>
    <w:rsid w:val="00F5728E"/>
    <w:rsid w:val="00FB2DD9"/>
    <w:rsid w:val="00FC21FC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A93CB9"/>
  <w15:docId w15:val="{630344E9-5D96-4C3B-86E6-B9FD5A72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5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2A0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B2A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2A06"/>
    <w:pPr>
      <w:spacing w:after="16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2A06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2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2A06"/>
    <w:rPr>
      <w:rFonts w:ascii="Tahoma" w:hAnsi="Tahoma" w:cs="Tahoma"/>
      <w:sz w:val="16"/>
      <w:szCs w:val="16"/>
    </w:rPr>
  </w:style>
  <w:style w:type="paragraph" w:customStyle="1" w:styleId="testojustify">
    <w:name w:val="testojustify"/>
    <w:basedOn w:val="Normale"/>
    <w:rsid w:val="00A868C2"/>
    <w:pPr>
      <w:spacing w:before="75" w:after="18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868C2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675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5265"/>
  </w:style>
  <w:style w:type="paragraph" w:styleId="Pidipagina">
    <w:name w:val="footer"/>
    <w:basedOn w:val="Normale"/>
    <w:link w:val="PidipaginaCarattere"/>
    <w:uiPriority w:val="99"/>
    <w:unhideWhenUsed/>
    <w:rsid w:val="00675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265"/>
  </w:style>
  <w:style w:type="paragraph" w:styleId="NormaleWeb">
    <w:name w:val="Normal (Web)"/>
    <w:basedOn w:val="Normale"/>
    <w:uiPriority w:val="99"/>
    <w:semiHidden/>
    <w:unhideWhenUsed/>
    <w:rsid w:val="00E34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E346B3"/>
  </w:style>
  <w:style w:type="paragraph" w:customStyle="1" w:styleId="Default">
    <w:name w:val="Default"/>
    <w:rsid w:val="00B725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9893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4809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118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10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6215">
          <w:marLeft w:val="979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FFCE1-AA5E-4892-A336-0CA68447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7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Procedura coprogettazione</vt:lpstr>
    </vt:vector>
  </TitlesOfParts>
  <Company>Ettore Vittorio Uccellini</Company>
  <LinksUpToDate>false</LinksUpToDate>
  <CharactersWithSpaces>11250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coprogettazione</dc:title>
  <dc:subject/>
  <dc:creator>Ettore Vittorio Uccellini</dc:creator>
  <cp:keywords/>
  <dc:description/>
  <cp:lastModifiedBy>ettore uccellini</cp:lastModifiedBy>
  <cp:revision>13</cp:revision>
  <dcterms:created xsi:type="dcterms:W3CDTF">2017-02-07T08:47:00Z</dcterms:created>
  <dcterms:modified xsi:type="dcterms:W3CDTF">2021-06-24T12:36:00Z</dcterms:modified>
</cp:coreProperties>
</file>